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C3EFB">
      <w:pPr>
        <w:pStyle w:val="123"/>
        <w:framePr w:wrap="around"/>
        <w:rPr>
          <w:rFonts w:ascii="宋体" w:hAnsi="宋体" w:eastAsia="宋体" w:cs="宋体"/>
        </w:rPr>
      </w:pPr>
      <w:r>
        <w:rPr>
          <w:rFonts w:hint="eastAsia" w:ascii="宋体" w:hAnsi="宋体" w:eastAsia="宋体" w:cs="宋体"/>
        </w:rPr>
        <w:t>ICS </w:t>
      </w:r>
      <w:r>
        <w:rPr>
          <w:rFonts w:hint="eastAsia" w:ascii="宋体" w:hAnsi="宋体" w:eastAsia="宋体" w:cs="宋体"/>
        </w:rPr>
        <w:fldChar w:fldCharType="begin">
          <w:ffData>
            <w:name w:val="ICS"/>
            <w:enabled/>
            <w:calcOnExit w:val="0"/>
            <w:helpText w:type="text" w:val="请输入正确的ICS号："/>
            <w:textInput>
              <w:default w:val="29.240.30"/>
            </w:textInput>
          </w:ffData>
        </w:fldChar>
      </w:r>
      <w:r>
        <w:rPr>
          <w:rFonts w:hint="eastAsia" w:ascii="宋体" w:hAnsi="宋体" w:eastAsia="宋体" w:cs="宋体"/>
        </w:rPr>
        <w:instrText xml:space="preserve">FORMTEXT</w:instrText>
      </w:r>
      <w:r>
        <w:rPr>
          <w:rFonts w:hint="eastAsia" w:ascii="宋体" w:hAnsi="宋体" w:eastAsia="宋体" w:cs="宋体"/>
        </w:rPr>
        <w:fldChar w:fldCharType="separate"/>
      </w:r>
      <w:r>
        <w:rPr>
          <w:rFonts w:hint="eastAsia" w:ascii="宋体" w:hAnsi="宋体" w:eastAsia="宋体" w:cs="宋体"/>
        </w:rPr>
        <w:t>29.240.30</w:t>
      </w:r>
      <w:r>
        <w:rPr>
          <w:rFonts w:hint="eastAsia" w:ascii="宋体" w:hAnsi="宋体" w:eastAsia="宋体" w:cs="宋体"/>
        </w:rPr>
        <w:fldChar w:fldCharType="end"/>
      </w:r>
    </w:p>
    <w:p w14:paraId="4B3584F3">
      <w:pPr>
        <w:pStyle w:val="123"/>
        <w:framePr w:wrap="around"/>
        <w:rPr>
          <w:rFonts w:ascii="宋体" w:hAnsi="宋体" w:eastAsia="宋体" w:cs="宋体"/>
        </w:rPr>
      </w:pPr>
      <w:r>
        <w:rPr>
          <w:rFonts w:hint="eastAsia" w:ascii="宋体" w:hAnsi="宋体" w:eastAsia="宋体" w:cs="宋体"/>
        </w:rPr>
        <w:t>CCS </w:t>
      </w:r>
      <w:bookmarkStart w:id="0" w:name="ICS"/>
      <w:r>
        <w:rPr>
          <w:rFonts w:hint="eastAsia" w:ascii="宋体" w:hAnsi="宋体" w:eastAsia="宋体" w:cs="宋体"/>
        </w:rPr>
        <w:fldChar w:fldCharType="begin">
          <w:ffData>
            <w:name w:val="ICS"/>
            <w:enabled/>
            <w:calcOnExit w:val="0"/>
            <w:helpText w:type="text" w:val="请输入正确的ICS号："/>
            <w:textInput>
              <w:default w:val="k43"/>
            </w:textInput>
          </w:ffData>
        </w:fldChar>
      </w:r>
      <w:r>
        <w:rPr>
          <w:rFonts w:hint="eastAsia" w:ascii="宋体" w:hAnsi="宋体" w:eastAsia="宋体" w:cs="宋体"/>
        </w:rPr>
        <w:instrText xml:space="preserve">FORMTEXT</w:instrText>
      </w:r>
      <w:r>
        <w:rPr>
          <w:rFonts w:hint="eastAsia" w:ascii="宋体" w:hAnsi="宋体" w:eastAsia="宋体" w:cs="宋体"/>
        </w:rPr>
        <w:fldChar w:fldCharType="separate"/>
      </w:r>
      <w:r>
        <w:rPr>
          <w:rFonts w:hint="eastAsia" w:ascii="宋体" w:hAnsi="宋体" w:eastAsia="宋体" w:cs="宋体"/>
        </w:rPr>
        <w:t>k43</w:t>
      </w:r>
      <w:r>
        <w:rPr>
          <w:rFonts w:hint="eastAsia" w:ascii="宋体" w:hAnsi="宋体" w:eastAsia="宋体" w:cs="宋体"/>
        </w:rPr>
        <w:fldChar w:fldCharType="end"/>
      </w:r>
      <w:bookmarkEnd w:id="0"/>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68C69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0B11B1C0">
            <w:pPr>
              <w:pStyle w:val="123"/>
              <w:framePr w:wrap="around"/>
              <w:rPr>
                <w:rFonts w:ascii="宋体" w:hAnsi="宋体" w:eastAsia="宋体" w:cs="宋体"/>
              </w:rPr>
            </w:pPr>
            <w:r>
              <w:rPr>
                <w:rFonts w:hint="eastAsia" w:ascii="宋体" w:hAnsi="宋体" w:eastAsia="宋体" w:cs="宋体"/>
              </w:rPr>
              <w:fldChar w:fldCharType="begin">
                <w:ffData>
                  <w:name w:val="BAH"/>
                  <w:enabled/>
                  <w:calcOnExit w:val="0"/>
                  <w:textInput/>
                </w:ffData>
              </w:fldChar>
            </w:r>
            <w:bookmarkStart w:id="1" w:name="BAH"/>
            <w:r>
              <w:rPr>
                <w:rFonts w:hint="eastAsia" w:ascii="宋体" w:hAnsi="宋体" w:eastAsia="宋体" w:cs="宋体"/>
              </w:rPr>
              <w:instrText xml:space="preserve"> FORMTEXT </w:instrText>
            </w:r>
            <w:r>
              <w:rPr>
                <w:rFonts w:hint="eastAsia" w:ascii="宋体" w:hAnsi="宋体" w:eastAsia="宋体" w:cs="宋体"/>
              </w:rPr>
              <w:fldChar w:fldCharType="separate"/>
            </w:r>
            <w:r>
              <w:rPr>
                <w:rFonts w:hint="eastAsia" w:ascii="宋体" w:hAnsi="宋体" w:eastAsia="宋体" w:cs="宋体"/>
              </w:rPr>
              <w:t>     </w:t>
            </w:r>
            <w:r>
              <w:rPr>
                <w:rFonts w:hint="eastAsia" w:ascii="宋体" w:hAnsi="宋体" w:eastAsia="宋体" w:cs="宋体"/>
              </w:rPr>
              <w:fldChar w:fldCharType="end"/>
            </w:r>
            <w:bookmarkEnd w:id="1"/>
          </w:p>
        </w:tc>
      </w:tr>
    </w:tbl>
    <w:p w14:paraId="08D828E2">
      <w:pPr>
        <w:pStyle w:val="109"/>
        <w:framePr w:wrap="around"/>
        <w:wordWrap w:val="0"/>
        <w:rPr>
          <w:rFonts w:ascii="宋体" w:hAnsi="宋体" w:cs="宋体"/>
        </w:rPr>
      </w:pPr>
      <w:r>
        <w:rPr>
          <w:rFonts w:hint="eastAsia" w:ascii="宋体" w:hAnsi="宋体" w:cs="宋体"/>
        </w:rPr>
        <w:t xml:space="preserve">  </w:t>
      </w:r>
      <w:r>
        <w:rPr>
          <w:rFonts w:hint="eastAsia" w:ascii="Times New Roman" w:eastAsia="宋体"/>
          <w:lang w:val="en-US" w:eastAsia="zh-CN"/>
        </w:rPr>
        <w:t>T/GSEE</w:t>
      </w:r>
      <w:r>
        <w:rPr>
          <w:rFonts w:hint="eastAsia" w:ascii="宋体" w:hAnsi="宋体" w:cs="宋体"/>
        </w:rPr>
        <w:t>4</w:t>
      </w:r>
    </w:p>
    <w:p w14:paraId="4C7DE6F2">
      <w:pPr>
        <w:pStyle w:val="110"/>
        <w:framePr w:wrap="around"/>
        <w:rPr>
          <w:rFonts w:ascii="宋体" w:eastAsia="宋体" w:cs="宋体"/>
          <w:sz w:val="72"/>
          <w:szCs w:val="72"/>
        </w:rPr>
      </w:pPr>
      <w:r>
        <w:rPr>
          <w:rFonts w:hint="eastAsia"/>
          <w:lang w:eastAsia="zh-CN"/>
        </w:rPr>
        <w:t>广东省电机工程学会团体标准</w:t>
      </w:r>
    </w:p>
    <w:p w14:paraId="3D5A03E1">
      <w:pPr>
        <w:pStyle w:val="47"/>
        <w:framePr w:wrap="around"/>
        <w:rPr>
          <w:rFonts w:hint="eastAsia" w:ascii="宋体" w:hAnsi="宋体" w:eastAsia="宋体" w:cs="宋体"/>
          <w:lang w:eastAsia="zh-CN"/>
        </w:rPr>
      </w:pPr>
      <w:r>
        <w:rPr>
          <w:rFonts w:hint="eastAsia" w:ascii="黑体" w:hAnsi="黑体" w:eastAsia="黑体" w:cs="Times New Roman"/>
          <w:sz w:val="28"/>
          <w:szCs w:val="28"/>
          <w:lang w:val="en-US" w:eastAsia="zh-CN" w:bidi="ar-SA"/>
        </w:rPr>
        <w:t>T/GSEE</w:t>
      </w:r>
      <w:r>
        <w:rPr>
          <w:rFonts w:hint="eastAsia" w:ascii="宋体" w:hAnsi="宋体" w:eastAsia="宋体" w:cs="宋体"/>
        </w:rPr>
        <w:t xml:space="preserve"> </w:t>
      </w:r>
      <w:r>
        <w:rPr>
          <w:rFonts w:hint="eastAsia" w:ascii="宋体" w:hAnsi="宋体" w:eastAsia="宋体" w:cs="宋体"/>
        </w:rPr>
        <w:fldChar w:fldCharType="begin">
          <w:ffData>
            <w:name w:val="StdNo1"/>
            <w:enabled/>
            <w:calcOnExit w:val="0"/>
            <w:textInput>
              <w:default w:val="××××"/>
            </w:textInput>
          </w:ffData>
        </w:fldChar>
      </w:r>
      <w:bookmarkStart w:id="2" w:name="StdNo1"/>
      <w:r>
        <w:rPr>
          <w:rFonts w:hint="eastAsia" w:ascii="宋体" w:hAnsi="宋体" w:eastAsia="宋体" w:cs="宋体"/>
        </w:rPr>
        <w:instrText xml:space="preserve"> FORMTEXT </w:instrText>
      </w:r>
      <w:r>
        <w:rPr>
          <w:rFonts w:hint="eastAsia" w:ascii="宋体" w:hAnsi="宋体" w:eastAsia="宋体" w:cs="宋体"/>
        </w:rPr>
        <w:fldChar w:fldCharType="separate"/>
      </w:r>
      <w:r>
        <w:rPr>
          <w:rFonts w:hint="eastAsia" w:ascii="宋体" w:hAnsi="宋体" w:eastAsia="宋体" w:cs="宋体"/>
        </w:rPr>
        <w:t>××××</w:t>
      </w:r>
      <w:r>
        <w:rPr>
          <w:rFonts w:hint="eastAsia" w:ascii="宋体" w:hAnsi="宋体" w:eastAsia="宋体" w:cs="宋体"/>
        </w:rPr>
        <w:fldChar w:fldCharType="end"/>
      </w:r>
      <w:bookmarkEnd w:id="2"/>
      <w:r>
        <w:rPr>
          <w:rFonts w:hint="eastAsia" w:ascii="宋体" w:hAnsi="宋体" w:eastAsia="宋体" w:cs="宋体"/>
        </w:rPr>
        <w:t>—202</w:t>
      </w:r>
      <w:r>
        <w:rPr>
          <w:rFonts w:hint="eastAsia" w:ascii="宋体" w:hAnsi="宋体" w:eastAsia="宋体" w:cs="宋体"/>
          <w:lang w:val="en-US" w:eastAsia="zh-CN"/>
        </w:rPr>
        <w:t>3</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3026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2E79CC41">
            <w:pPr>
              <w:pStyle w:val="76"/>
              <w:framePr w:wrap="around"/>
              <w:rPr>
                <w:rFonts w:hAnsi="宋体" w:cs="宋体"/>
              </w:rPr>
            </w:pPr>
            <w:r>
              <w:rPr>
                <w:rFonts w:hint="eastAsia" w:hAnsi="宋体" w:cs="宋体"/>
                <w:lang w:val="de-DE"/>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7k/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r>
              <w:rPr>
                <w:rFonts w:hint="eastAsia" w:hAnsi="宋体" w:cs="宋体"/>
              </w:rPr>
              <w:fldChar w:fldCharType="begin">
                <w:ffData>
                  <w:name w:val="DT"/>
                  <w:enabled/>
                  <w:calcOnExit w:val="0"/>
                  <w:entryMacro w:val="ShowHelp4"/>
                  <w:textInput/>
                </w:ffData>
              </w:fldChar>
            </w:r>
            <w:bookmarkStart w:id="3" w:name="DT"/>
            <w:r>
              <w:rPr>
                <w:rFonts w:hint="eastAsia" w:hAnsi="宋体" w:cs="宋体"/>
              </w:rPr>
              <w:instrText xml:space="preserve"> FORMTEXT </w:instrText>
            </w:r>
            <w:r>
              <w:rPr>
                <w:rFonts w:hint="eastAsia" w:hAnsi="宋体" w:cs="宋体"/>
              </w:rPr>
              <w:fldChar w:fldCharType="separate"/>
            </w:r>
            <w:r>
              <w:rPr>
                <w:rFonts w:hint="eastAsia" w:hAnsi="宋体" w:cs="宋体"/>
              </w:rPr>
              <w:t>     </w:t>
            </w:r>
            <w:r>
              <w:rPr>
                <w:rFonts w:hint="eastAsia" w:hAnsi="宋体" w:cs="宋体"/>
              </w:rPr>
              <w:fldChar w:fldCharType="end"/>
            </w:r>
            <w:bookmarkEnd w:id="3"/>
          </w:p>
        </w:tc>
      </w:tr>
    </w:tbl>
    <w:p w14:paraId="7F6D8AAF">
      <w:pPr>
        <w:pStyle w:val="47"/>
        <w:framePr w:wrap="around"/>
        <w:rPr>
          <w:rFonts w:ascii="宋体" w:hAnsi="宋体" w:eastAsia="宋体" w:cs="宋体"/>
        </w:rPr>
      </w:pPr>
    </w:p>
    <w:p w14:paraId="35694F5A">
      <w:pPr>
        <w:pStyle w:val="47"/>
        <w:framePr w:wrap="around"/>
        <w:rPr>
          <w:rFonts w:ascii="宋体" w:hAnsi="宋体" w:eastAsia="宋体" w:cs="宋体"/>
        </w:rPr>
      </w:pPr>
    </w:p>
    <w:p w14:paraId="3E521351">
      <w:pPr>
        <w:pStyle w:val="78"/>
        <w:framePr w:wrap="around"/>
        <w:rPr>
          <w:rFonts w:ascii="宋体" w:hAnsi="宋体" w:eastAsia="宋体" w:cs="宋体"/>
        </w:rPr>
      </w:pPr>
      <w:r>
        <w:rPr>
          <w:rFonts w:hint="eastAsia" w:ascii="黑体" w:hAnsi="黑体" w:eastAsia="黑体" w:cs="黑体"/>
        </w:rPr>
        <w:fldChar w:fldCharType="begin">
          <w:ffData>
            <w:name w:val="StdName"/>
            <w:enabled/>
            <w:calcOnExit w:val="0"/>
            <w:textInput>
              <w:default w:val="高压交流电路半导体开关设备技术规范"/>
            </w:textInput>
          </w:ffData>
        </w:fldChar>
      </w:r>
      <w:r>
        <w:rPr>
          <w:rFonts w:hint="eastAsia" w:ascii="黑体" w:hAnsi="黑体" w:eastAsia="黑体" w:cs="黑体"/>
        </w:rPr>
        <w:instrText xml:space="preserve"> </w:instrText>
      </w:r>
      <w:bookmarkStart w:id="4" w:name="StdName"/>
      <w:r>
        <w:rPr>
          <w:rFonts w:hint="eastAsia" w:ascii="黑体" w:hAnsi="黑体" w:eastAsia="黑体" w:cs="黑体"/>
        </w:rPr>
        <w:instrText xml:space="preserve">FORMTEXT </w:instrText>
      </w:r>
      <w:r>
        <w:rPr>
          <w:rFonts w:hint="eastAsia" w:ascii="黑体" w:hAnsi="黑体" w:eastAsia="黑体" w:cs="黑体"/>
        </w:rPr>
        <w:fldChar w:fldCharType="separate"/>
      </w:r>
      <w:r>
        <w:rPr>
          <w:rFonts w:hint="eastAsia" w:ascii="黑体" w:hAnsi="黑体" w:eastAsia="黑体" w:cs="黑体"/>
        </w:rPr>
        <w:t>高压交流电路半导体开关设备技术规范</w:t>
      </w:r>
      <w:r>
        <w:rPr>
          <w:rFonts w:hint="eastAsia" w:ascii="黑体" w:hAnsi="黑体" w:eastAsia="黑体" w:cs="黑体"/>
        </w:rPr>
        <w:fldChar w:fldCharType="end"/>
      </w:r>
      <w:bookmarkEnd w:id="4"/>
    </w:p>
    <w:p w14:paraId="1CC27DDD">
      <w:pPr>
        <w:pStyle w:val="79"/>
        <w:framePr w:wrap="around"/>
        <w:rPr>
          <w:rFonts w:ascii="宋体" w:hAnsi="宋体" w:eastAsia="宋体" w:cs="宋体"/>
        </w:rPr>
      </w:pPr>
      <w:r>
        <w:rPr>
          <w:rFonts w:ascii="宋体" w:hAnsi="宋体" w:eastAsia="宋体" w:cs="宋体"/>
        </w:rPr>
        <w:t xml:space="preserve"> </w:t>
      </w:r>
    </w:p>
    <w:p w14:paraId="6A6CE38F">
      <w:pPr>
        <w:pStyle w:val="80"/>
        <w:framePr w:wrap="around"/>
        <w:rPr>
          <w:rFonts w:ascii="Times New Roman"/>
          <w:b/>
        </w:rPr>
      </w:pPr>
      <w:r>
        <w:rPr>
          <w:rFonts w:hint="eastAsia" w:ascii="Times New Roman"/>
          <w:b/>
        </w:rPr>
        <w:t>Technical specifications for high-voltage AC circuits</w:t>
      </w:r>
      <w:r>
        <w:rPr>
          <w:rFonts w:hint="eastAsia" w:ascii="Times New Roman"/>
          <w:b/>
          <w:lang w:val="en-US" w:eastAsia="zh-CN"/>
        </w:rPr>
        <w:t xml:space="preserve"> </w:t>
      </w:r>
      <w:r>
        <w:rPr>
          <w:rFonts w:hint="eastAsia" w:ascii="Times New Roman"/>
          <w:b/>
        </w:rPr>
        <w:t>semiconductor switchgear</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161AA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6F2DF66D">
            <w:pPr>
              <w:pStyle w:val="81"/>
              <w:framePr w:wrap="around"/>
              <w:jc w:val="both"/>
              <w:rPr>
                <w:rFonts w:hAnsi="宋体" w:cs="宋体"/>
              </w:rPr>
            </w:pPr>
            <w:r>
              <w:rPr>
                <w:rFonts w:hint="eastAsia" w:hAnsi="宋体" w:cs="宋体"/>
                <w:lang w:val="de-DE"/>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w:rPr>
                <w:rFonts w:hint="eastAsia" w:hAnsi="宋体" w:cs="宋体"/>
                <w:lang w:val="de-DE"/>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E9563EB">
                                  <w:pPr>
                                    <w:jc w:val="center"/>
                                  </w:pPr>
                                  <w:r>
                                    <w:rPr>
                                      <w:rFonts w:hint="eastAsia"/>
                                    </w:rPr>
                                    <w:t>征求意见稿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NIEcv1AAAAAkB&#10;AAAPAAAAAAAAAAEAIAAAACIAAABkcnMvZG93bnJldi54bWxQSwECFAAUAAAACACHTuJA7GlKnlgC&#10;AADHBAAADgAAAAAAAAABACAAAAAjAQAAZHJzL2Uyb0RvYy54bWxQSwUGAAAAAAYABgBZAQAA7QUA&#10;AAAA&#10;">
                      <v:fill on="t" focussize="0,0"/>
                      <v:stroke on="f" weight="2pt"/>
                      <v:imagedata o:title=""/>
                      <o:lock v:ext="edit" aspectratio="f"/>
                      <v:textbox>
                        <w:txbxContent>
                          <w:p w14:paraId="4E9563EB">
                            <w:pPr>
                              <w:jc w:val="center"/>
                            </w:pPr>
                            <w:r>
                              <w:rPr>
                                <w:rFonts w:hint="eastAsia"/>
                              </w:rPr>
                              <w:t>征求意见稿</w:t>
                            </w:r>
                          </w:p>
                        </w:txbxContent>
                      </v:textbox>
                    </v:rect>
                  </w:pict>
                </mc:Fallback>
              </mc:AlternateContent>
            </w:r>
          </w:p>
        </w:tc>
      </w:tr>
      <w:tr w14:paraId="300C0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197040D2">
            <w:pPr>
              <w:pStyle w:val="82"/>
              <w:framePr w:wrap="around"/>
              <w:rPr>
                <w:rFonts w:hint="default" w:hAnsi="宋体" w:eastAsia="宋体" w:cs="宋体"/>
                <w:lang w:val="en-US" w:eastAsia="zh-CN"/>
              </w:rPr>
            </w:pPr>
            <w:r>
              <w:rPr>
                <w:rFonts w:hint="eastAsia" w:hAnsi="宋体" w:cs="宋体"/>
                <w:lang w:val="en-US" w:eastAsia="zh-CN"/>
              </w:rPr>
              <w:t>征求意见稿</w:t>
            </w:r>
          </w:p>
        </w:tc>
      </w:tr>
      <w:tr w14:paraId="45AAB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5B74E1F5">
            <w:pPr>
              <w:pStyle w:val="82"/>
              <w:framePr w:wrap="around"/>
              <w:rPr>
                <w:rFonts w:hAnsi="宋体" w:cs="宋体"/>
              </w:rPr>
            </w:pPr>
            <w:bookmarkStart w:id="95" w:name="_GoBack"/>
            <w:bookmarkEnd w:id="95"/>
          </w:p>
        </w:tc>
      </w:tr>
    </w:tbl>
    <w:p w14:paraId="535F7A7B">
      <w:pPr>
        <w:pStyle w:val="130"/>
        <w:framePr w:wrap="around"/>
        <w:rPr>
          <w:rFonts w:ascii="宋体" w:hAnsi="宋体" w:eastAsia="宋体" w:cs="宋体"/>
        </w:rPr>
      </w:pPr>
      <w:r>
        <w:rPr>
          <w:rFonts w:hint="eastAsia" w:ascii="黑体" w:hAnsi="黑体" w:eastAsia="黑体" w:cs="黑体"/>
        </w:rPr>
        <w:t>202</w:t>
      </w:r>
      <w:r>
        <w:rPr>
          <w:rFonts w:hint="eastAsia" w:ascii="黑体" w:hAnsi="黑体" w:cs="黑体"/>
          <w:lang w:val="en-US" w:eastAsia="zh-CN"/>
        </w:rPr>
        <w:t>3</w:t>
      </w:r>
      <w:r>
        <w:rPr>
          <w:rFonts w:hint="eastAsia" w:ascii="黑体" w:hAnsi="黑体" w:eastAsia="黑体" w:cs="黑体"/>
        </w:rPr>
        <w:t xml:space="preserve"> - </w:t>
      </w:r>
      <w:r>
        <w:rPr>
          <w:rFonts w:hint="eastAsia" w:ascii="黑体" w:hAnsi="黑体" w:eastAsia="黑体" w:cs="黑体"/>
        </w:rPr>
        <w:fldChar w:fldCharType="begin">
          <w:ffData>
            <w:name w:val="FM"/>
            <w:enabled/>
            <w:calcOnExit w:val="0"/>
            <w:entryMacro w:val="ShowHelp8"/>
            <w:textInput>
              <w:default w:val="××"/>
              <w:maxLength w:val="2"/>
            </w:textInput>
          </w:ffData>
        </w:fldChar>
      </w:r>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w:t>
      </w:r>
      <w:r>
        <w:rPr>
          <w:rFonts w:hint="eastAsia" w:ascii="黑体" w:hAnsi="黑体" w:eastAsia="黑体" w:cs="黑体"/>
        </w:rPr>
        <w:fldChar w:fldCharType="end"/>
      </w:r>
      <w:r>
        <w:rPr>
          <w:rFonts w:hint="eastAsia" w:ascii="黑体" w:hAnsi="黑体" w:eastAsia="黑体" w:cs="黑体"/>
        </w:rPr>
        <w:t xml:space="preserve"> - </w:t>
      </w:r>
      <w:r>
        <w:rPr>
          <w:rFonts w:hint="eastAsia" w:ascii="黑体" w:hAnsi="黑体" w:eastAsia="黑体" w:cs="黑体"/>
        </w:rPr>
        <w:fldChar w:fldCharType="begin">
          <w:ffData>
            <w:name w:val="FD"/>
            <w:enabled/>
            <w:calcOnExit w:val="0"/>
            <w:entryMacro w:val="ShowHelp8"/>
            <w:textInput>
              <w:default w:val="××"/>
              <w:maxLength w:val="2"/>
            </w:textInput>
          </w:ffData>
        </w:fldChar>
      </w:r>
      <w:bookmarkStart w:id="5" w:name="FD"/>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w:t>
      </w:r>
      <w:r>
        <w:rPr>
          <w:rFonts w:hint="eastAsia" w:ascii="黑体" w:hAnsi="黑体" w:eastAsia="黑体" w:cs="黑体"/>
        </w:rPr>
        <w:fldChar w:fldCharType="end"/>
      </w:r>
      <w:bookmarkEnd w:id="5"/>
      <w:r>
        <w:rPr>
          <w:rFonts w:hint="eastAsia" w:ascii="黑体" w:hAnsi="黑体" w:eastAsia="黑体" w:cs="黑体"/>
        </w:rPr>
        <w:t>发布</w:t>
      </w:r>
      <w:r>
        <w:rPr>
          <w:rFonts w:hint="eastAsia" w:ascii="宋体" w:hAnsi="宋体" w:eastAsia="宋体" w:cs="宋体"/>
          <w:lang w:val="de-D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ascii="宋体" w:hAnsi="宋体" w:eastAsia="宋体" w:cs="宋体"/>
          <w:lang w:val="de-D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14:paraId="5A85CEC1">
      <w:pPr>
        <w:pStyle w:val="131"/>
        <w:framePr w:wrap="around"/>
        <w:rPr>
          <w:rFonts w:hint="eastAsia" w:ascii="黑体" w:hAnsi="黑体" w:eastAsia="黑体" w:cs="黑体"/>
        </w:rPr>
      </w:pPr>
      <w:r>
        <w:rPr>
          <w:rFonts w:hint="eastAsia" w:ascii="黑体" w:hAnsi="黑体" w:eastAsia="黑体" w:cs="黑体"/>
        </w:rPr>
        <w:fldChar w:fldCharType="begin">
          <w:ffData>
            <w:name w:val="SY"/>
            <w:enabled/>
            <w:calcOnExit w:val="0"/>
            <w:textInput>
              <w:default w:val="2021"/>
              <w:maxLength w:val="4"/>
            </w:textInput>
          </w:ffData>
        </w:fldChar>
      </w:r>
      <w:bookmarkStart w:id="6" w:name="SY"/>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eastAsia="黑体" w:cs="黑体"/>
          <w:lang w:val="en-US" w:eastAsia="zh-CN"/>
        </w:rPr>
        <w:t>3</w:t>
      </w:r>
      <w:r>
        <w:rPr>
          <w:rFonts w:hint="eastAsia" w:ascii="黑体" w:hAnsi="黑体" w:eastAsia="黑体" w:cs="黑体"/>
        </w:rPr>
        <w:fldChar w:fldCharType="end"/>
      </w:r>
      <w:bookmarkEnd w:id="6"/>
      <w:r>
        <w:rPr>
          <w:rFonts w:hint="eastAsia" w:ascii="黑体" w:hAnsi="黑体" w:eastAsia="黑体" w:cs="黑体"/>
        </w:rPr>
        <w:t xml:space="preserve"> - </w:t>
      </w:r>
      <w:r>
        <w:rPr>
          <w:rFonts w:hint="eastAsia" w:ascii="黑体" w:hAnsi="黑体" w:eastAsia="黑体" w:cs="黑体"/>
        </w:rPr>
        <w:fldChar w:fldCharType="begin">
          <w:ffData>
            <w:name w:val="SM"/>
            <w:enabled/>
            <w:calcOnExit w:val="0"/>
            <w:entryMacro w:val="ShowHelp9"/>
            <w:textInput>
              <w:default w:val="××"/>
              <w:maxLength w:val="2"/>
            </w:textInput>
          </w:ffData>
        </w:fldChar>
      </w:r>
      <w:bookmarkStart w:id="7" w:name="SM"/>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w:t>
      </w:r>
      <w:r>
        <w:rPr>
          <w:rFonts w:hint="eastAsia" w:ascii="黑体" w:hAnsi="黑体" w:eastAsia="黑体" w:cs="黑体"/>
        </w:rPr>
        <w:fldChar w:fldCharType="end"/>
      </w:r>
      <w:bookmarkEnd w:id="7"/>
      <w:r>
        <w:rPr>
          <w:rFonts w:hint="eastAsia" w:ascii="黑体" w:hAnsi="黑体" w:eastAsia="黑体" w:cs="黑体"/>
        </w:rPr>
        <w:t xml:space="preserve"> - </w:t>
      </w:r>
      <w:r>
        <w:rPr>
          <w:rFonts w:hint="eastAsia" w:ascii="黑体" w:hAnsi="黑体" w:eastAsia="黑体" w:cs="黑体"/>
        </w:rPr>
        <w:fldChar w:fldCharType="begin">
          <w:ffData>
            <w:name w:val="SD"/>
            <w:enabled/>
            <w:calcOnExit w:val="0"/>
            <w:entryMacro w:val="ShowHelp9"/>
            <w:textInput>
              <w:default w:val="××"/>
              <w:maxLength w:val="2"/>
            </w:textInput>
          </w:ffData>
        </w:fldChar>
      </w:r>
      <w:bookmarkStart w:id="8" w:name="SD"/>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w:t>
      </w:r>
      <w:r>
        <w:rPr>
          <w:rFonts w:hint="eastAsia" w:ascii="黑体" w:hAnsi="黑体" w:eastAsia="黑体" w:cs="黑体"/>
        </w:rPr>
        <w:fldChar w:fldCharType="end"/>
      </w:r>
      <w:bookmarkEnd w:id="8"/>
      <w:r>
        <w:rPr>
          <w:rFonts w:hint="eastAsia" w:ascii="黑体" w:hAnsi="黑体" w:eastAsia="黑体" w:cs="黑体"/>
        </w:rPr>
        <w:t>实施</w:t>
      </w:r>
    </w:p>
    <w:p w14:paraId="1DF55FB7">
      <w:pPr>
        <w:pStyle w:val="111"/>
        <w:framePr w:wrap="around"/>
        <w:rPr>
          <w:rFonts w:ascii="宋体" w:hAnsi="宋体" w:eastAsia="宋体" w:cs="宋体"/>
        </w:rPr>
      </w:pPr>
      <w:r>
        <w:rPr>
          <w:rFonts w:hint="eastAsia" w:ascii="黑体" w:hAnsi="黑体" w:eastAsia="黑体" w:cs="黑体"/>
        </w:rPr>
        <w:t xml:space="preserve">广东省电机工程学会 </w:t>
      </w:r>
      <w:r>
        <w:rPr>
          <w:rStyle w:val="73"/>
          <w:rFonts w:hint="eastAsia" w:ascii="黑体" w:hAnsi="黑体" w:eastAsia="黑体" w:cs="黑体"/>
        </w:rPr>
        <w:t xml:space="preserve"> 发布</w:t>
      </w:r>
    </w:p>
    <w:p w14:paraId="33C4DE59">
      <w:pPr>
        <w:pStyle w:val="23"/>
        <w:rPr>
          <w:rFonts w:hAnsi="宋体" w:cs="宋体"/>
        </w:rPr>
        <w:sectPr>
          <w:headerReference r:id="rId3" w:type="even"/>
          <w:pgSz w:w="11906" w:h="16838"/>
          <w:pgMar w:top="567" w:right="850" w:bottom="1134" w:left="1418" w:header="0" w:footer="0" w:gutter="0"/>
          <w:pgNumType w:fmt="upperRoman" w:start="1"/>
          <w:cols w:space="425" w:num="1"/>
          <w:docGrid w:type="lines" w:linePitch="312" w:charSpace="0"/>
        </w:sectPr>
      </w:pPr>
      <w:r>
        <w:rPr>
          <w:rFonts w:hint="eastAsia" w:hAnsi="宋体" w:cs="宋体"/>
          <w:lang w:val="de-DE"/>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abbHNUAAAAJAQAA&#10;DwAAAAAAAAABACAAAAAiAAAAZHJzL2Rvd25yZXYueG1sUEsBAhQAFAAAAAgAh07iQL8IK5ZVAgAA&#10;vAQAAA4AAAAAAAAAAQAgAAAAJAEAAGRycy9lMm9Eb2MueG1sUEsFBgAAAAAGAAYAWQEAAOsFAAAA&#10;AA==&#10;">
                <v:fill on="t" focussize="0,0"/>
                <v:stroke on="f" weight="2pt"/>
                <v:imagedata o:title=""/>
                <o:lock v:ext="edit" aspectratio="f"/>
              </v:rect>
            </w:pict>
          </mc:Fallback>
        </mc:AlternateContent>
      </w:r>
      <w:r>
        <w:rPr>
          <w:rFonts w:hint="eastAsia" w:hAnsi="宋体" w:cs="宋体"/>
          <w:lang w:val="de-D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r>
        <w:rPr>
          <w:rFonts w:hint="eastAsia" w:hAnsi="宋体" w:cs="宋体"/>
          <w:lang w:val="de-D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NjE69cBAACaAwAADgAAAGRycy9lMm9Eb2MueG1srVPNbhMx&#10;EL4j8Q6W72Q3qVr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RqNUAAAAKAQAADwAAAAAAAAABACAA&#10;AAAiAAAAZHJzL2Rvd25yZXYueG1sUEsBAhQAFAAAAAgAh07iQAjYxOvXAQAAmgMAAA4AAAAAAAAA&#10;AQAgAAAAJAEAAGRycy9lMm9Eb2MueG1sUEsFBgAAAAAGAAYAWQEAAG0FAAAAAA==&#10;">
                <v:fill on="f" focussize="0,0"/>
                <v:stroke color="#000000 [3204]" joinstyle="round"/>
                <v:imagedata o:title=""/>
                <o:lock v:ext="edit" aspectratio="f"/>
              </v:line>
            </w:pict>
          </mc:Fallback>
        </mc:AlternateContent>
      </w:r>
    </w:p>
    <w:p w14:paraId="65568D52">
      <w:pPr>
        <w:jc w:val="center"/>
        <w:rPr>
          <w:rFonts w:ascii="宋体" w:hAnsi="宋体" w:cs="宋体"/>
          <w:sz w:val="32"/>
          <w:szCs w:val="32"/>
        </w:rPr>
      </w:pPr>
      <w:bookmarkStart w:id="9" w:name="_Toc27836"/>
      <w:bookmarkStart w:id="10" w:name="_Toc383701492"/>
      <w:bookmarkStart w:id="11" w:name="_Toc7167"/>
      <w:bookmarkStart w:id="12" w:name="_Toc468692981"/>
      <w:bookmarkStart w:id="13" w:name="_Toc383701993"/>
      <w:bookmarkStart w:id="14" w:name="_Toc44414101"/>
      <w:bookmarkStart w:id="15" w:name="_Toc52288514"/>
    </w:p>
    <w:p w14:paraId="62FCF6B5">
      <w:pPr>
        <w:jc w:val="center"/>
        <w:rPr>
          <w:rFonts w:ascii="宋体" w:hAnsi="宋体" w:cs="宋体"/>
          <w:sz w:val="32"/>
          <w:szCs w:val="32"/>
        </w:rPr>
      </w:pPr>
      <w:r>
        <w:rPr>
          <w:rFonts w:hint="eastAsia" w:ascii="黑体" w:hAnsi="黑体" w:eastAsia="黑体" w:cs="黑体"/>
          <w:sz w:val="32"/>
          <w:szCs w:val="32"/>
        </w:rPr>
        <w:t>目    次</w:t>
      </w:r>
      <w:bookmarkEnd w:id="9"/>
      <w:bookmarkEnd w:id="10"/>
      <w:bookmarkEnd w:id="11"/>
      <w:bookmarkEnd w:id="12"/>
      <w:bookmarkEnd w:id="13"/>
      <w:r>
        <w:rPr>
          <w:rFonts w:hint="eastAsia" w:hAnsi="宋体" w:cs="宋体"/>
          <w:sz w:val="32"/>
          <w:szCs w:val="21"/>
        </w:rPr>
        <w:fldChar w:fldCharType="begin"/>
      </w:r>
      <w:r>
        <w:rPr>
          <w:rFonts w:hint="eastAsia" w:hAnsi="宋体" w:cs="宋体"/>
          <w:sz w:val="32"/>
        </w:rPr>
        <w:instrText xml:space="preserve"> TOC \o "1-2" \h \z \u </w:instrText>
      </w:r>
      <w:r>
        <w:rPr>
          <w:rFonts w:hint="eastAsia" w:hAnsi="宋体" w:cs="宋体"/>
          <w:sz w:val="32"/>
          <w:szCs w:val="21"/>
        </w:rPr>
        <w:fldChar w:fldCharType="separate"/>
      </w:r>
    </w:p>
    <w:p w14:paraId="18D933E5">
      <w:pPr>
        <w:pStyle w:val="19"/>
        <w:tabs>
          <w:tab w:val="right" w:leader="dot" w:pos="9354"/>
          <w:tab w:val="clear" w:pos="9241"/>
        </w:tabs>
        <w:spacing w:before="78" w:after="78"/>
        <w:rPr>
          <w:rFonts w:hAnsi="宋体" w:cs="宋体"/>
        </w:rPr>
      </w:pPr>
      <w:r>
        <w:fldChar w:fldCharType="begin"/>
      </w:r>
      <w:r>
        <w:instrText xml:space="preserve"> HYPERLINK \l "_Toc16745" </w:instrText>
      </w:r>
      <w:r>
        <w:fldChar w:fldCharType="separate"/>
      </w:r>
      <w:sdt>
        <w:sdtPr>
          <w:rPr>
            <w:rFonts w:hint="eastAsia" w:hAnsi="宋体" w:cs="宋体"/>
          </w:rPr>
          <w:alias w:val="标准名称"/>
          <w:tag w:val="标准名称"/>
          <w:id w:val="1795105741"/>
          <w:lock w:val="sdtLocked"/>
          <w:placeholder>
            <w:docPart w:val="{c8465a90-0758-4d5e-b663-b34eca273b9d}"/>
          </w:placeholder>
          <w:text w:multiLine="1"/>
        </w:sdtPr>
        <w:sdtEndPr>
          <w:rPr>
            <w:rFonts w:hint="eastAsia" w:hAnsi="宋体" w:cs="宋体"/>
          </w:rPr>
        </w:sdtEndPr>
        <w:sdtContent>
          <w:r>
            <w:rPr>
              <w:rFonts w:hAnsi="宋体" w:cs="宋体"/>
            </w:rPr>
            <w:t xml:space="preserve">  </w:t>
          </w:r>
        </w:sdtContent>
      </w:sdt>
      <w:r>
        <w:fldChar w:fldCharType="end"/>
      </w:r>
      <w:r>
        <w:rPr>
          <w:rFonts w:hint="eastAsia" w:hAnsi="宋体" w:cs="宋体"/>
        </w:rPr>
        <w:fldChar w:fldCharType="end"/>
      </w:r>
    </w:p>
    <w:sdt>
      <w:sdtPr>
        <w:rPr>
          <w:rFonts w:ascii="Times New Roman"/>
          <w:kern w:val="2"/>
          <w:szCs w:val="24"/>
          <w:lang w:val="zh-CN"/>
        </w:rPr>
        <w:id w:val="1087813519"/>
        <w:docPartObj>
          <w:docPartGallery w:val="Table of Contents"/>
          <w:docPartUnique/>
        </w:docPartObj>
      </w:sdtPr>
      <w:sdtEndPr>
        <w:rPr>
          <w:rFonts w:ascii="Times New Roman"/>
          <w:b/>
          <w:bCs/>
          <w:kern w:val="2"/>
          <w:szCs w:val="24"/>
          <w:lang w:val="zh-CN"/>
        </w:rPr>
      </w:sdtEndPr>
      <w:sdtContent>
        <w:p w14:paraId="082E32C4">
          <w:pPr>
            <w:pStyle w:val="108"/>
          </w:pPr>
        </w:p>
        <w:p w14:paraId="0A7AF7F8">
          <w:pPr>
            <w:pStyle w:val="19"/>
            <w:spacing w:before="78" w:after="78"/>
            <w:rPr>
              <w:rFonts w:asciiTheme="minorEastAsia" w:hAnsiTheme="minorEastAsia" w:eastAsiaTheme="minorEastAsia" w:cstheme="minorBidi"/>
              <w:kern w:val="0"/>
              <w:sz w:val="22"/>
              <w:szCs w:val="22"/>
              <w:lang w:val="de-DE"/>
            </w:rPr>
          </w:pPr>
          <w:r>
            <w:fldChar w:fldCharType="begin"/>
          </w:r>
          <w:r>
            <w:instrText xml:space="preserve"> TOC \o "1-3" \h \z \u </w:instrText>
          </w:r>
          <w:r>
            <w:fldChar w:fldCharType="separate"/>
          </w:r>
          <w:r>
            <w:fldChar w:fldCharType="begin"/>
          </w:r>
          <w:r>
            <w:instrText xml:space="preserve"> HYPERLINK \l "_Toc123130236" </w:instrText>
          </w:r>
          <w:r>
            <w:fldChar w:fldCharType="separate"/>
          </w:r>
          <w:r>
            <w:rPr>
              <w:rStyle w:val="38"/>
              <w:rFonts w:hint="eastAsia" w:cs="宋体" w:asciiTheme="minorEastAsia" w:hAnsiTheme="minorEastAsia" w:eastAsiaTheme="minorEastAsia"/>
            </w:rPr>
            <w:t>前</w:t>
          </w:r>
          <w:r>
            <w:rPr>
              <w:rStyle w:val="38"/>
              <w:rFonts w:cs="宋体" w:asciiTheme="minorEastAsia" w:hAnsiTheme="minorEastAsia" w:eastAsiaTheme="minorEastAsia"/>
            </w:rPr>
            <w:t>  </w:t>
          </w:r>
          <w:r>
            <w:rPr>
              <w:rStyle w:val="38"/>
              <w:rFonts w:hint="eastAsia" w:cs="宋体" w:asciiTheme="minorEastAsia" w:hAnsiTheme="minorEastAsia" w:eastAsiaTheme="minorEastAsia"/>
            </w:rPr>
            <w:t>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_Toc123130236 \h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r>
            <w:rPr>
              <w:rFonts w:asciiTheme="minorEastAsia" w:hAnsiTheme="minorEastAsia" w:eastAsiaTheme="minorEastAsia"/>
            </w:rPr>
            <w:fldChar w:fldCharType="end"/>
          </w:r>
        </w:p>
        <w:p w14:paraId="0512B630">
          <w:pPr>
            <w:pStyle w:val="28"/>
            <w:rPr>
              <w:rFonts w:asciiTheme="minorEastAsia" w:hAnsiTheme="minorEastAsia" w:eastAsiaTheme="minorEastAsia" w:cstheme="minorBidi"/>
              <w:kern w:val="0"/>
              <w:sz w:val="22"/>
              <w:szCs w:val="22"/>
              <w:lang w:val="de-DE"/>
            </w:rPr>
          </w:pPr>
          <w:r>
            <w:fldChar w:fldCharType="begin"/>
          </w:r>
          <w:r>
            <w:instrText xml:space="preserve"> HYPERLINK \l "_Toc123130237" </w:instrText>
          </w:r>
          <w:r>
            <w:fldChar w:fldCharType="separate"/>
          </w:r>
          <w:r>
            <w:rPr>
              <w:rStyle w:val="38"/>
              <w:rFonts w:asciiTheme="minorEastAsia" w:hAnsiTheme="minorEastAsia" w:eastAsiaTheme="minorEastAsia"/>
            </w:rPr>
            <w:t>1</w:t>
          </w:r>
          <w:r>
            <w:rPr>
              <w:rStyle w:val="38"/>
              <w:rFonts w:hint="eastAsia" w:asciiTheme="minorEastAsia" w:hAnsiTheme="minorEastAsia" w:eastAsiaTheme="minorEastAsia"/>
            </w:rPr>
            <w:t xml:space="preserve">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_Toc123130237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504E179C">
          <w:pPr>
            <w:pStyle w:val="28"/>
            <w:rPr>
              <w:rFonts w:asciiTheme="minorEastAsia" w:hAnsiTheme="minorEastAsia" w:eastAsiaTheme="minorEastAsia" w:cstheme="minorBidi"/>
              <w:kern w:val="0"/>
              <w:sz w:val="22"/>
              <w:szCs w:val="22"/>
              <w:lang w:val="de-DE"/>
            </w:rPr>
          </w:pPr>
          <w:r>
            <w:fldChar w:fldCharType="begin"/>
          </w:r>
          <w:r>
            <w:instrText xml:space="preserve"> HYPERLINK \l "_Toc123130238" </w:instrText>
          </w:r>
          <w:r>
            <w:fldChar w:fldCharType="separate"/>
          </w:r>
          <w:r>
            <w:rPr>
              <w:rStyle w:val="38"/>
              <w:rFonts w:asciiTheme="minorEastAsia" w:hAnsiTheme="minorEastAsia" w:eastAsiaTheme="minorEastAsia"/>
            </w:rPr>
            <w:t>2</w:t>
          </w:r>
          <w:r>
            <w:rPr>
              <w:rStyle w:val="38"/>
              <w:rFonts w:hint="eastAsia" w:asciiTheme="minorEastAsia" w:hAnsiTheme="minorEastAsia" w:eastAsiaTheme="minorEastAsia"/>
            </w:rPr>
            <w:t xml:space="preserve">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_Toc123130238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0CCEF3BB">
          <w:pPr>
            <w:pStyle w:val="28"/>
            <w:rPr>
              <w:rFonts w:asciiTheme="minorEastAsia" w:hAnsiTheme="minorEastAsia" w:eastAsiaTheme="minorEastAsia" w:cstheme="minorBidi"/>
              <w:kern w:val="0"/>
              <w:sz w:val="22"/>
              <w:szCs w:val="22"/>
              <w:lang w:val="de-DE"/>
            </w:rPr>
          </w:pPr>
          <w:r>
            <w:fldChar w:fldCharType="begin"/>
          </w:r>
          <w:r>
            <w:instrText xml:space="preserve"> HYPERLINK \l "_Toc123130239" </w:instrText>
          </w:r>
          <w:r>
            <w:fldChar w:fldCharType="separate"/>
          </w:r>
          <w:r>
            <w:rPr>
              <w:rStyle w:val="38"/>
              <w:rFonts w:asciiTheme="minorEastAsia" w:hAnsiTheme="minorEastAsia" w:eastAsiaTheme="minorEastAsia"/>
            </w:rPr>
            <w:t>3</w:t>
          </w:r>
          <w:r>
            <w:rPr>
              <w:rStyle w:val="38"/>
              <w:rFonts w:hint="eastAsia" w:asciiTheme="minorEastAsia" w:hAnsiTheme="minorEastAsia" w:eastAsiaTheme="minorEastAsia"/>
            </w:rPr>
            <w:t xml:space="preserve">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_Toc123130239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4F6BA47">
          <w:pPr>
            <w:pStyle w:val="28"/>
            <w:rPr>
              <w:rFonts w:asciiTheme="minorEastAsia" w:hAnsiTheme="minorEastAsia" w:eastAsiaTheme="minorEastAsia" w:cstheme="minorBidi"/>
              <w:kern w:val="0"/>
              <w:sz w:val="22"/>
              <w:szCs w:val="22"/>
              <w:lang w:val="de-DE"/>
            </w:rPr>
          </w:pPr>
          <w:r>
            <w:fldChar w:fldCharType="begin"/>
          </w:r>
          <w:r>
            <w:instrText xml:space="preserve"> HYPERLINK \l "_Toc123130240" </w:instrText>
          </w:r>
          <w:r>
            <w:fldChar w:fldCharType="separate"/>
          </w:r>
          <w:r>
            <w:rPr>
              <w:rStyle w:val="38"/>
              <w:rFonts w:cs="宋体" w:asciiTheme="minorEastAsia" w:hAnsiTheme="minorEastAsia" w:eastAsiaTheme="minorEastAsia"/>
              <w:bCs/>
            </w:rPr>
            <w:t>4</w:t>
          </w:r>
          <w:r>
            <w:rPr>
              <w:rStyle w:val="38"/>
              <w:rFonts w:hint="eastAsia" w:cs="宋体" w:asciiTheme="minorEastAsia" w:hAnsiTheme="minorEastAsia" w:eastAsiaTheme="minorEastAsia"/>
              <w:bCs/>
            </w:rPr>
            <w:t xml:space="preserve"> 结构和控制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_Toc123130240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776C4A2B">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"_Toc123130241" </w:instrText>
          </w:r>
          <w:r>
            <w:fldChar w:fldCharType="separate"/>
          </w:r>
          <w:r>
            <w:rPr>
              <w:rStyle w:val="38"/>
              <w:rFonts w:asciiTheme="minorEastAsia" w:hAnsiTheme="minorEastAsia" w:eastAsiaTheme="minorEastAsia"/>
            </w:rPr>
            <w:t>4.1</w:t>
          </w:r>
          <w:r>
            <w:rPr>
              <w:rStyle w:val="38"/>
              <w:rFonts w:hint="eastAsia" w:asciiTheme="minorEastAsia" w:hAnsiTheme="minorEastAsia" w:eastAsiaTheme="minorEastAsia"/>
            </w:rPr>
            <w:t xml:space="preserve"> 结构组成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290A9F0">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"_Toc123130242" </w:instrText>
          </w:r>
          <w:r>
            <w:fldChar w:fldCharType="separate"/>
          </w:r>
          <w:r>
            <w:rPr>
              <w:rStyle w:val="38"/>
              <w:rFonts w:asciiTheme="minorEastAsia" w:hAnsiTheme="minorEastAsia" w:eastAsiaTheme="minorEastAsia"/>
            </w:rPr>
            <w:t>4.2</w:t>
          </w:r>
          <w:r>
            <w:rPr>
              <w:rStyle w:val="38"/>
              <w:rFonts w:hint="eastAsia" w:asciiTheme="minorEastAsia" w:hAnsiTheme="minorEastAsia" w:eastAsiaTheme="minorEastAsia"/>
            </w:rPr>
            <w:t xml:space="preserve"> 控制及保护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_Toc123130242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0ED8AD23">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"_Toc123130243" </w:instrText>
          </w:r>
          <w:r>
            <w:fldChar w:fldCharType="separate"/>
          </w:r>
          <w:r>
            <w:rPr>
              <w:rStyle w:val="38"/>
              <w:rFonts w:asciiTheme="minorEastAsia" w:hAnsiTheme="minorEastAsia" w:eastAsiaTheme="minorEastAsia"/>
            </w:rPr>
            <w:t>4.4</w:t>
          </w:r>
          <w:r>
            <w:rPr>
              <w:rStyle w:val="38"/>
              <w:rFonts w:hint="eastAsia" w:asciiTheme="minorEastAsia" w:hAnsiTheme="minorEastAsia" w:eastAsiaTheme="minorEastAsia"/>
            </w:rPr>
            <w:t>工作制度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_Toc123130243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71AD01D7">
          <w:pPr>
            <w:pStyle w:val="28"/>
            <w:rPr>
              <w:rFonts w:asciiTheme="minorEastAsia" w:hAnsiTheme="minorEastAsia" w:eastAsiaTheme="minorEastAsia" w:cstheme="minorBidi"/>
              <w:kern w:val="0"/>
              <w:sz w:val="22"/>
              <w:szCs w:val="22"/>
              <w:lang w:val="de-DE"/>
            </w:rPr>
          </w:pPr>
          <w:r>
            <w:fldChar w:fldCharType="begin"/>
          </w:r>
          <w:r>
            <w:instrText xml:space="preserve"> HYPERLINK \l "_Toc123130244" </w:instrText>
          </w:r>
          <w:r>
            <w:fldChar w:fldCharType="separate"/>
          </w:r>
          <w:r>
            <w:rPr>
              <w:rStyle w:val="38"/>
              <w:rFonts w:asciiTheme="minorEastAsia" w:hAnsiTheme="minorEastAsia" w:eastAsiaTheme="minorEastAsia"/>
            </w:rPr>
            <w:t>5</w:t>
          </w:r>
          <w:r>
            <w:rPr>
              <w:rStyle w:val="38"/>
              <w:rFonts w:hint="eastAsia" w:asciiTheme="minorEastAsia" w:hAnsiTheme="minorEastAsia" w:eastAsiaTheme="minorEastAsia"/>
            </w:rPr>
            <w:t xml:space="preserve"> 正常使用条件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_Toc123130244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4844043C">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"_Toc123130245" </w:instrText>
          </w:r>
          <w:r>
            <w:fldChar w:fldCharType="separate"/>
          </w:r>
          <w:r>
            <w:rPr>
              <w:rStyle w:val="38"/>
              <w:rFonts w:asciiTheme="minorEastAsia" w:hAnsiTheme="minorEastAsia" w:eastAsiaTheme="minorEastAsia"/>
            </w:rPr>
            <w:t>5.1</w:t>
          </w:r>
          <w:r>
            <w:rPr>
              <w:rStyle w:val="38"/>
              <w:rFonts w:hint="eastAsia" w:asciiTheme="minorEastAsia" w:hAnsiTheme="minorEastAsia" w:eastAsiaTheme="minorEastAsia"/>
            </w:rPr>
            <w:t xml:space="preserve"> 环境条件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_Toc123130245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2871F9C0">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"_Toc123130246" </w:instrText>
          </w:r>
          <w:r>
            <w:fldChar w:fldCharType="separate"/>
          </w:r>
          <w:r>
            <w:rPr>
              <w:rStyle w:val="38"/>
              <w:rFonts w:asciiTheme="minorEastAsia" w:hAnsiTheme="minorEastAsia" w:eastAsiaTheme="minorEastAsia"/>
            </w:rPr>
            <w:t>5.2</w:t>
          </w:r>
          <w:r>
            <w:rPr>
              <w:rStyle w:val="38"/>
              <w:rFonts w:hint="eastAsia" w:asciiTheme="minorEastAsia" w:hAnsiTheme="minorEastAsia" w:eastAsiaTheme="minorEastAsia"/>
            </w:rPr>
            <w:t xml:space="preserve"> 标准参考大气条件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_Toc123130246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74A2743D">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"_Toc123130247" </w:instrText>
          </w:r>
          <w:r>
            <w:fldChar w:fldCharType="separate"/>
          </w:r>
          <w:r>
            <w:rPr>
              <w:rStyle w:val="38"/>
              <w:rFonts w:asciiTheme="minorEastAsia" w:hAnsiTheme="minorEastAsia" w:eastAsiaTheme="minorEastAsia"/>
            </w:rPr>
            <w:t>5.3</w:t>
          </w:r>
          <w:r>
            <w:rPr>
              <w:rStyle w:val="38"/>
              <w:rFonts w:hint="eastAsia" w:asciiTheme="minorEastAsia" w:hAnsiTheme="minorEastAsia" w:eastAsiaTheme="minorEastAsia"/>
            </w:rPr>
            <w:t xml:space="preserve"> 运行条件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_Toc123130247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4887B6F1">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"_Toc123130248" </w:instrText>
          </w:r>
          <w:r>
            <w:fldChar w:fldCharType="separate"/>
          </w:r>
          <w:r>
            <w:rPr>
              <w:rStyle w:val="38"/>
              <w:rFonts w:asciiTheme="minorEastAsia" w:hAnsiTheme="minorEastAsia" w:eastAsiaTheme="minorEastAsia"/>
            </w:rPr>
            <w:t>5.4</w:t>
          </w:r>
          <w:r>
            <w:rPr>
              <w:rStyle w:val="38"/>
              <w:rFonts w:hint="eastAsia" w:asciiTheme="minorEastAsia" w:hAnsiTheme="minorEastAsia" w:eastAsiaTheme="minorEastAsia"/>
            </w:rPr>
            <w:t xml:space="preserve"> 其他条件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_Toc123130248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70AEDE41">
          <w:pPr>
            <w:pStyle w:val="28"/>
            <w:rPr>
              <w:rFonts w:asciiTheme="minorEastAsia" w:hAnsiTheme="minorEastAsia" w:eastAsiaTheme="minorEastAsia" w:cstheme="minorBidi"/>
              <w:kern w:val="0"/>
              <w:sz w:val="22"/>
              <w:szCs w:val="22"/>
              <w:lang w:val="de-DE"/>
            </w:rPr>
          </w:pPr>
          <w:r>
            <w:fldChar w:fldCharType="begin"/>
          </w:r>
          <w:r>
            <w:instrText xml:space="preserve"> HYPERLINK \l "_Toc123130249" </w:instrText>
          </w:r>
          <w:r>
            <w:fldChar w:fldCharType="separate"/>
          </w:r>
          <w:r>
            <w:rPr>
              <w:rStyle w:val="38"/>
              <w:rFonts w:asciiTheme="minorEastAsia" w:hAnsiTheme="minorEastAsia" w:eastAsiaTheme="minorEastAsia"/>
            </w:rPr>
            <w:t>6</w:t>
          </w:r>
          <w:r>
            <w:rPr>
              <w:rStyle w:val="38"/>
              <w:rFonts w:hint="eastAsia" w:asciiTheme="minorEastAsia" w:hAnsiTheme="minorEastAsia" w:eastAsiaTheme="minorEastAsia"/>
            </w:rPr>
            <w:t xml:space="preserve"> 标识和代号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_Toc123130249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764B9FF9">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"_Toc123130250" </w:instrText>
          </w:r>
          <w:r>
            <w:fldChar w:fldCharType="separate"/>
          </w:r>
          <w:r>
            <w:rPr>
              <w:rStyle w:val="38"/>
              <w:rFonts w:asciiTheme="minorEastAsia" w:hAnsiTheme="minorEastAsia" w:eastAsiaTheme="minorEastAsia"/>
            </w:rPr>
            <w:t>6.1</w:t>
          </w:r>
          <w:r>
            <w:rPr>
              <w:rStyle w:val="38"/>
              <w:rFonts w:hint="eastAsia" w:asciiTheme="minorEastAsia" w:hAnsiTheme="minorEastAsia" w:eastAsiaTheme="minorEastAsia"/>
            </w:rPr>
            <w:t xml:space="preserve"> 导体颜色</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_Toc123130250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704D35EA">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"_Toc123130251" </w:instrText>
          </w:r>
          <w:r>
            <w:fldChar w:fldCharType="separate"/>
          </w:r>
          <w:r>
            <w:rPr>
              <w:rStyle w:val="38"/>
              <w:rFonts w:asciiTheme="minorEastAsia" w:hAnsiTheme="minorEastAsia" w:eastAsiaTheme="minorEastAsia"/>
            </w:rPr>
            <w:t>6.2</w:t>
          </w:r>
          <w:r>
            <w:rPr>
              <w:rStyle w:val="38"/>
              <w:rFonts w:hint="eastAsia" w:asciiTheme="minorEastAsia" w:hAnsiTheme="minorEastAsia" w:eastAsiaTheme="minorEastAsia"/>
            </w:rPr>
            <w:t xml:space="preserve"> 冷却方式标识代号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_Toc123130251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6017723A">
          <w:pPr>
            <w:pStyle w:val="28"/>
            <w:rPr>
              <w:rFonts w:asciiTheme="minorEastAsia" w:hAnsiTheme="minorEastAsia" w:eastAsiaTheme="minorEastAsia" w:cstheme="minorBidi"/>
              <w:kern w:val="0"/>
              <w:sz w:val="22"/>
              <w:szCs w:val="22"/>
              <w:lang w:val="de-DE"/>
            </w:rPr>
          </w:pPr>
          <w:r>
            <w:fldChar w:fldCharType="begin"/>
          </w:r>
          <w:r>
            <w:instrText xml:space="preserve"> HYPERLINK \l "_Toc123130252" </w:instrText>
          </w:r>
          <w:r>
            <w:fldChar w:fldCharType="separate"/>
          </w:r>
          <w:r>
            <w:rPr>
              <w:rStyle w:val="38"/>
              <w:rFonts w:asciiTheme="minorEastAsia" w:hAnsiTheme="minorEastAsia" w:eastAsiaTheme="minorEastAsia"/>
            </w:rPr>
            <w:t>7</w:t>
          </w:r>
          <w:r>
            <w:rPr>
              <w:rStyle w:val="38"/>
              <w:rFonts w:hint="eastAsia" w:asciiTheme="minorEastAsia" w:hAnsiTheme="minorEastAsia" w:eastAsiaTheme="minorEastAsia"/>
            </w:rPr>
            <w:t xml:space="preserve"> 技术参数及性能要求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_Toc123130252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747EBAC6">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"_Toc123130253" </w:instrText>
          </w:r>
          <w:r>
            <w:fldChar w:fldCharType="separate"/>
          </w:r>
          <w:r>
            <w:rPr>
              <w:rStyle w:val="38"/>
              <w:rFonts w:asciiTheme="minorEastAsia" w:hAnsiTheme="minorEastAsia" w:eastAsiaTheme="minorEastAsia"/>
            </w:rPr>
            <w:t>7.1</w:t>
          </w:r>
          <w:r>
            <w:rPr>
              <w:rStyle w:val="38"/>
              <w:rFonts w:hint="eastAsia" w:asciiTheme="minorEastAsia" w:hAnsiTheme="minorEastAsia" w:eastAsiaTheme="minorEastAsia"/>
            </w:rPr>
            <w:t xml:space="preserve"> 额定电流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_Toc123130253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647348FA">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"_Toc123130254" </w:instrText>
          </w:r>
          <w:r>
            <w:fldChar w:fldCharType="separate"/>
          </w:r>
          <w:r>
            <w:rPr>
              <w:rStyle w:val="38"/>
              <w:rFonts w:asciiTheme="minorEastAsia" w:hAnsiTheme="minorEastAsia" w:eastAsiaTheme="minorEastAsia"/>
            </w:rPr>
            <w:t>7.2</w:t>
          </w:r>
          <w:r>
            <w:rPr>
              <w:rStyle w:val="38"/>
              <w:rFonts w:hint="eastAsia" w:asciiTheme="minorEastAsia" w:hAnsiTheme="minorEastAsia" w:eastAsiaTheme="minorEastAsia"/>
            </w:rPr>
            <w:t xml:space="preserve"> 额定电压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_Toc123130254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01BFBFAC">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"_Toc123130255" </w:instrText>
          </w:r>
          <w:r>
            <w:fldChar w:fldCharType="separate"/>
          </w:r>
          <w:r>
            <w:rPr>
              <w:rStyle w:val="38"/>
              <w:rFonts w:asciiTheme="minorEastAsia" w:hAnsiTheme="minorEastAsia" w:eastAsiaTheme="minorEastAsia"/>
            </w:rPr>
            <w:t>7.3</w:t>
          </w:r>
          <w:r>
            <w:rPr>
              <w:rStyle w:val="38"/>
              <w:rFonts w:hint="eastAsia" w:asciiTheme="minorEastAsia" w:hAnsiTheme="minorEastAsia" w:eastAsiaTheme="minorEastAsia"/>
            </w:rPr>
            <w:t xml:space="preserve"> 额定绝缘水平</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_Toc123130255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41BF778F">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"_Toc123130256" </w:instrText>
          </w:r>
          <w:r>
            <w:fldChar w:fldCharType="separate"/>
          </w:r>
          <w:r>
            <w:rPr>
              <w:rStyle w:val="38"/>
              <w:rFonts w:asciiTheme="minorEastAsia" w:hAnsiTheme="minorEastAsia" w:eastAsiaTheme="minorEastAsia"/>
            </w:rPr>
            <w:t>7.4</w:t>
          </w:r>
          <w:r>
            <w:rPr>
              <w:rStyle w:val="38"/>
              <w:rFonts w:hint="eastAsia" w:asciiTheme="minorEastAsia" w:hAnsiTheme="minorEastAsia" w:eastAsiaTheme="minorEastAsia"/>
            </w:rPr>
            <w:t xml:space="preserve"> 额定绝缘电阻</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_Toc123130256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274E08CF">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"_Toc123130257" </w:instrText>
          </w:r>
          <w:r>
            <w:fldChar w:fldCharType="separate"/>
          </w:r>
          <w:r>
            <w:rPr>
              <w:rStyle w:val="38"/>
              <w:rFonts w:asciiTheme="minorEastAsia" w:hAnsiTheme="minorEastAsia" w:eastAsiaTheme="minorEastAsia"/>
            </w:rPr>
            <w:t>7.5</w:t>
          </w:r>
          <w:r>
            <w:rPr>
              <w:rStyle w:val="38"/>
              <w:rFonts w:hint="eastAsia" w:asciiTheme="minorEastAsia" w:hAnsiTheme="minorEastAsia" w:eastAsiaTheme="minorEastAsia"/>
            </w:rPr>
            <w:t xml:space="preserve"> 耐受电流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_Toc123130257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1AE6E623">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"_Toc123130258" </w:instrText>
          </w:r>
          <w:r>
            <w:fldChar w:fldCharType="separate"/>
          </w:r>
          <w:r>
            <w:rPr>
              <w:rStyle w:val="38"/>
              <w:rFonts w:asciiTheme="minorEastAsia" w:hAnsiTheme="minorEastAsia" w:eastAsiaTheme="minorEastAsia"/>
            </w:rPr>
            <w:t>7.6</w:t>
          </w:r>
          <w:r>
            <w:rPr>
              <w:rStyle w:val="38"/>
              <w:rFonts w:hint="eastAsia" w:asciiTheme="minorEastAsia" w:hAnsiTheme="minorEastAsia" w:eastAsiaTheme="minorEastAsia"/>
            </w:rPr>
            <w:t xml:space="preserve"> 电磁兼容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_Toc123130258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66BCECF8">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"_Toc123130259" </w:instrText>
          </w:r>
          <w:r>
            <w:fldChar w:fldCharType="separate"/>
          </w:r>
          <w:r>
            <w:rPr>
              <w:rStyle w:val="38"/>
              <w:rFonts w:asciiTheme="minorEastAsia" w:hAnsiTheme="minorEastAsia" w:eastAsiaTheme="minorEastAsia"/>
            </w:rPr>
            <w:t>7.7</w:t>
          </w:r>
          <w:r>
            <w:rPr>
              <w:rStyle w:val="38"/>
              <w:rFonts w:hint="eastAsia" w:asciiTheme="minorEastAsia" w:hAnsiTheme="minorEastAsia" w:eastAsiaTheme="minorEastAsia"/>
            </w:rPr>
            <w:t xml:space="preserve"> 外壳防护等级</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_Toc123130259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6AB9E73C">
          <w:pPr>
            <w:pStyle w:val="28"/>
            <w:rPr>
              <w:rFonts w:asciiTheme="minorEastAsia" w:hAnsiTheme="minorEastAsia" w:eastAsiaTheme="minorEastAsia" w:cstheme="minorBidi"/>
              <w:kern w:val="0"/>
              <w:sz w:val="22"/>
              <w:szCs w:val="22"/>
              <w:lang w:val="de-DE"/>
            </w:rPr>
          </w:pPr>
          <w:r>
            <w:fldChar w:fldCharType="begin"/>
          </w:r>
          <w:r>
            <w:instrText xml:space="preserve"> HYPERLINK \l "_Toc123130260" </w:instrText>
          </w:r>
          <w:r>
            <w:fldChar w:fldCharType="separate"/>
          </w:r>
          <w:r>
            <w:rPr>
              <w:rStyle w:val="38"/>
              <w:rFonts w:cs="宋体" w:asciiTheme="minorEastAsia" w:hAnsiTheme="minorEastAsia" w:eastAsiaTheme="minorEastAsia"/>
              <w:bCs/>
            </w:rPr>
            <w:t>8</w:t>
          </w:r>
          <w:r>
            <w:rPr>
              <w:rStyle w:val="38"/>
              <w:rFonts w:hint="eastAsia" w:cs="宋体" w:asciiTheme="minorEastAsia" w:hAnsiTheme="minorEastAsia" w:eastAsiaTheme="minorEastAsia"/>
              <w:bCs/>
            </w:rPr>
            <w:t xml:space="preserve"> 阀器件组件和半导体开关的试验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_Toc123130260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3D4D271C">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"_Toc123130261" </w:instrText>
          </w:r>
          <w:r>
            <w:fldChar w:fldCharType="separate"/>
          </w:r>
          <w:r>
            <w:rPr>
              <w:rStyle w:val="38"/>
              <w:rFonts w:asciiTheme="minorEastAsia" w:hAnsiTheme="minorEastAsia" w:eastAsiaTheme="minorEastAsia"/>
            </w:rPr>
            <w:t>8.1</w:t>
          </w:r>
          <w:r>
            <w:rPr>
              <w:rStyle w:val="38"/>
              <w:rFonts w:hint="eastAsia" w:asciiTheme="minorEastAsia" w:hAnsiTheme="minorEastAsia" w:eastAsiaTheme="minorEastAsia"/>
            </w:rPr>
            <w:t xml:space="preserve"> 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_Toc123130261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5F94A257">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"_Toc123130262" </w:instrText>
          </w:r>
          <w:r>
            <w:fldChar w:fldCharType="separate"/>
          </w:r>
          <w:r>
            <w:rPr>
              <w:rStyle w:val="38"/>
              <w:rFonts w:asciiTheme="minorEastAsia" w:hAnsiTheme="minorEastAsia" w:eastAsiaTheme="minorEastAsia"/>
            </w:rPr>
            <w:t>8.2</w:t>
          </w:r>
          <w:r>
            <w:rPr>
              <w:rStyle w:val="38"/>
              <w:rFonts w:hint="eastAsia" w:asciiTheme="minorEastAsia" w:hAnsiTheme="minorEastAsia" w:eastAsiaTheme="minorEastAsia"/>
            </w:rPr>
            <w:t xml:space="preserve"> 轻载试验和功能试验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_Toc123130262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14:paraId="46C3F7A8">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"_Toc123130263" </w:instrText>
          </w:r>
          <w:r>
            <w:fldChar w:fldCharType="separate"/>
          </w:r>
          <w:r>
            <w:rPr>
              <w:rStyle w:val="38"/>
              <w:rFonts w:asciiTheme="minorEastAsia" w:hAnsiTheme="minorEastAsia" w:eastAsiaTheme="minorEastAsia"/>
            </w:rPr>
            <w:t>8.3</w:t>
          </w:r>
          <w:r>
            <w:rPr>
              <w:rStyle w:val="38"/>
              <w:rFonts w:hint="eastAsia" w:asciiTheme="minorEastAsia" w:hAnsiTheme="minorEastAsia" w:eastAsiaTheme="minorEastAsia"/>
            </w:rPr>
            <w:t xml:space="preserve"> 绝缘电阻测量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_Toc123130263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14:paraId="50FD5806">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"_Toc123130264" </w:instrText>
          </w:r>
          <w:r>
            <w:fldChar w:fldCharType="separate"/>
          </w:r>
          <w:r>
            <w:rPr>
              <w:rStyle w:val="38"/>
              <w:rFonts w:asciiTheme="minorEastAsia" w:hAnsiTheme="minorEastAsia" w:eastAsiaTheme="minorEastAsia"/>
            </w:rPr>
            <w:t>8.4</w:t>
          </w:r>
          <w:r>
            <w:rPr>
              <w:rStyle w:val="38"/>
              <w:rFonts w:hint="eastAsia" w:asciiTheme="minorEastAsia" w:hAnsiTheme="minorEastAsia" w:eastAsiaTheme="minorEastAsia"/>
            </w:rPr>
            <w:t xml:space="preserve"> 绝缘试验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_Toc123130264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14:paraId="5FAFAD95">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"_Toc123130265" </w:instrText>
          </w:r>
          <w:r>
            <w:fldChar w:fldCharType="separate"/>
          </w:r>
          <w:r>
            <w:rPr>
              <w:rStyle w:val="38"/>
              <w:rFonts w:asciiTheme="minorEastAsia" w:hAnsiTheme="minorEastAsia" w:eastAsiaTheme="minorEastAsia"/>
            </w:rPr>
            <w:t>8.5</w:t>
          </w:r>
          <w:r>
            <w:rPr>
              <w:rStyle w:val="38"/>
              <w:rFonts w:hint="eastAsia" w:asciiTheme="minorEastAsia" w:hAnsiTheme="minorEastAsia" w:eastAsiaTheme="minorEastAsia"/>
            </w:rPr>
            <w:t xml:space="preserve"> 额定电流试验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_Toc123130265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13BE9C86">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"_Toc123130266" </w:instrText>
          </w:r>
          <w:r>
            <w:fldChar w:fldCharType="separate"/>
          </w:r>
          <w:r>
            <w:rPr>
              <w:rStyle w:val="38"/>
              <w:rFonts w:asciiTheme="minorEastAsia" w:hAnsiTheme="minorEastAsia" w:eastAsiaTheme="minorEastAsia"/>
            </w:rPr>
            <w:t>8.6</w:t>
          </w:r>
          <w:r>
            <w:rPr>
              <w:rStyle w:val="38"/>
              <w:rFonts w:hint="eastAsia" w:asciiTheme="minorEastAsia" w:hAnsiTheme="minorEastAsia" w:eastAsiaTheme="minorEastAsia"/>
            </w:rPr>
            <w:t xml:space="preserve"> 短时耐受电流和峰值耐受电流试验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_Toc123130266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370DCDFA">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"_Toc123130267" </w:instrText>
          </w:r>
          <w:r>
            <w:fldChar w:fldCharType="separate"/>
          </w:r>
          <w:r>
            <w:rPr>
              <w:rStyle w:val="38"/>
              <w:rFonts w:asciiTheme="minorEastAsia" w:hAnsiTheme="minorEastAsia" w:eastAsiaTheme="minorEastAsia"/>
            </w:rPr>
            <w:t>8.7</w:t>
          </w:r>
          <w:r>
            <w:rPr>
              <w:rStyle w:val="38"/>
              <w:rFonts w:hint="eastAsia" w:asciiTheme="minorEastAsia" w:hAnsiTheme="minorEastAsia" w:eastAsiaTheme="minorEastAsia"/>
            </w:rPr>
            <w:t xml:space="preserve"> 温升试验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_Toc123130267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34387F64">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"_Toc123130268" </w:instrText>
          </w:r>
          <w:r>
            <w:fldChar w:fldCharType="separate"/>
          </w:r>
          <w:r>
            <w:rPr>
              <w:rStyle w:val="38"/>
              <w:rFonts w:asciiTheme="minorEastAsia" w:hAnsiTheme="minorEastAsia" w:eastAsiaTheme="minorEastAsia"/>
            </w:rPr>
            <w:t>8.8</w:t>
          </w:r>
          <w:r>
            <w:rPr>
              <w:rStyle w:val="38"/>
              <w:rFonts w:hint="eastAsia" w:asciiTheme="minorEastAsia" w:hAnsiTheme="minorEastAsia" w:eastAsiaTheme="minorEastAsia"/>
            </w:rPr>
            <w:t xml:space="preserve"> 辅助装置和控制设备性能检查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_Toc123130268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5798EA33">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"_Toc123130269" </w:instrText>
          </w:r>
          <w:r>
            <w:fldChar w:fldCharType="separate"/>
          </w:r>
          <w:r>
            <w:rPr>
              <w:rStyle w:val="38"/>
              <w:rFonts w:asciiTheme="minorEastAsia" w:hAnsiTheme="minorEastAsia" w:eastAsiaTheme="minorEastAsia"/>
            </w:rPr>
            <w:t>8.9</w:t>
          </w:r>
          <w:r>
            <w:rPr>
              <w:rStyle w:val="38"/>
              <w:rFonts w:hint="eastAsia" w:asciiTheme="minorEastAsia" w:hAnsiTheme="minorEastAsia" w:eastAsiaTheme="minorEastAsia"/>
              <w:bCs/>
            </w:rPr>
            <w:t xml:space="preserve"> 外壳</w:t>
          </w:r>
          <w:r>
            <w:rPr>
              <w:rStyle w:val="38"/>
              <w:rFonts w:hint="eastAsia" w:asciiTheme="minorEastAsia" w:hAnsiTheme="minorEastAsia" w:eastAsiaTheme="minorEastAsia"/>
            </w:rPr>
            <w:t>防护等级</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_Toc123130269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2ACF9D2D">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"_Toc123130270" </w:instrText>
          </w:r>
          <w:r>
            <w:fldChar w:fldCharType="separate"/>
          </w:r>
          <w:r>
            <w:rPr>
              <w:rStyle w:val="38"/>
              <w:rFonts w:asciiTheme="minorEastAsia" w:hAnsiTheme="minorEastAsia" w:eastAsiaTheme="minorEastAsia"/>
            </w:rPr>
            <w:t>8.10</w:t>
          </w:r>
          <w:r>
            <w:rPr>
              <w:rStyle w:val="38"/>
              <w:rFonts w:hint="eastAsia" w:asciiTheme="minorEastAsia" w:hAnsiTheme="minorEastAsia" w:eastAsiaTheme="minorEastAsia"/>
            </w:rPr>
            <w:t xml:space="preserve"> 电磁兼容性（</w:t>
          </w:r>
          <w:r>
            <w:rPr>
              <w:rStyle w:val="38"/>
              <w:rFonts w:asciiTheme="minorEastAsia" w:hAnsiTheme="minorEastAsia" w:eastAsiaTheme="minorEastAsia"/>
            </w:rPr>
            <w:t>EMC</w:t>
          </w:r>
          <w:r>
            <w:rPr>
              <w:rStyle w:val="38"/>
              <w:rFonts w:hint="eastAsia" w:asciiTheme="minorEastAsia" w:hAnsiTheme="minorEastAsia" w:eastAsiaTheme="minorEastAsia"/>
            </w:rPr>
            <w:t>）试验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_Toc123130270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66C621B8">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"_Toc123130271" </w:instrText>
          </w:r>
          <w:r>
            <w:fldChar w:fldCharType="separate"/>
          </w:r>
          <w:r>
            <w:rPr>
              <w:rStyle w:val="38"/>
              <w:rFonts w:asciiTheme="minorEastAsia" w:hAnsiTheme="minorEastAsia" w:eastAsiaTheme="minorEastAsia"/>
            </w:rPr>
            <w:t>8.11</w:t>
          </w:r>
          <w:r>
            <w:rPr>
              <w:rStyle w:val="38"/>
              <w:rFonts w:hint="eastAsia" w:asciiTheme="minorEastAsia" w:hAnsiTheme="minorEastAsia" w:eastAsiaTheme="minorEastAsia"/>
            </w:rPr>
            <w:t xml:space="preserve"> 可听噪声测量和附加试验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_Toc123130271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156D58AD">
          <w:pPr>
            <w:pStyle w:val="28"/>
            <w:rPr>
              <w:rFonts w:asciiTheme="minorEastAsia" w:hAnsiTheme="minorEastAsia" w:eastAsiaTheme="minorEastAsia" w:cstheme="minorBidi"/>
              <w:kern w:val="0"/>
              <w:sz w:val="22"/>
              <w:szCs w:val="22"/>
              <w:lang w:val="de-DE"/>
            </w:rPr>
          </w:pPr>
          <w:r>
            <w:fldChar w:fldCharType="begin"/>
          </w:r>
          <w:r>
            <w:instrText xml:space="preserve"> HYPERLINK \l "_Toc123130272" </w:instrText>
          </w:r>
          <w:r>
            <w:fldChar w:fldCharType="separate"/>
          </w:r>
          <w:r>
            <w:rPr>
              <w:rStyle w:val="38"/>
              <w:rFonts w:cs="宋体" w:asciiTheme="minorEastAsia" w:hAnsiTheme="minorEastAsia" w:eastAsiaTheme="minorEastAsia"/>
              <w:bCs/>
            </w:rPr>
            <w:t>9</w:t>
          </w:r>
          <w:r>
            <w:rPr>
              <w:rStyle w:val="38"/>
              <w:rFonts w:hint="eastAsia" w:cs="宋体" w:asciiTheme="minorEastAsia" w:hAnsiTheme="minorEastAsia" w:eastAsiaTheme="minorEastAsia"/>
              <w:bCs/>
            </w:rPr>
            <w:t xml:space="preserve"> 标志、包装、运输和贮存</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_Toc123130272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50984A8D">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"_Toc123130273" </w:instrText>
          </w:r>
          <w:r>
            <w:fldChar w:fldCharType="separate"/>
          </w:r>
          <w:r>
            <w:rPr>
              <w:rStyle w:val="38"/>
              <w:rFonts w:asciiTheme="minorEastAsia" w:hAnsiTheme="minorEastAsia" w:eastAsiaTheme="minorEastAsia"/>
            </w:rPr>
            <w:t>9.1</w:t>
          </w:r>
          <w:r>
            <w:rPr>
              <w:rStyle w:val="38"/>
              <w:rFonts w:hint="eastAsia" w:asciiTheme="minorEastAsia" w:hAnsiTheme="minorEastAsia" w:eastAsiaTheme="minorEastAsia"/>
            </w:rPr>
            <w:t xml:space="preserve"> 标志</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_Toc123130273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423E8564">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"_Toc123130274" </w:instrText>
          </w:r>
          <w:r>
            <w:fldChar w:fldCharType="separate"/>
          </w:r>
          <w:r>
            <w:rPr>
              <w:rStyle w:val="38"/>
              <w:rFonts w:asciiTheme="minorEastAsia" w:hAnsiTheme="minorEastAsia" w:eastAsiaTheme="minorEastAsia"/>
            </w:rPr>
            <w:t>9.2</w:t>
          </w:r>
          <w:r>
            <w:rPr>
              <w:rStyle w:val="38"/>
              <w:rFonts w:hint="eastAsia" w:asciiTheme="minorEastAsia" w:hAnsiTheme="minorEastAsia" w:eastAsiaTheme="minorEastAsia"/>
            </w:rPr>
            <w:t xml:space="preserve"> 包装</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_Toc123130274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4EB48F8B">
          <w:pPr>
            <w:pStyle w:val="12"/>
            <w:ind w:firstLine="210"/>
            <w:rPr>
              <w:rFonts w:asciiTheme="minorEastAsia" w:hAnsiTheme="minorEastAsia" w:eastAsiaTheme="minorEastAsia" w:cstheme="minorBidi"/>
              <w:kern w:val="0"/>
              <w:sz w:val="22"/>
              <w:szCs w:val="22"/>
              <w:lang w:val="de-DE"/>
            </w:rPr>
          </w:pPr>
          <w:r>
            <w:fldChar w:fldCharType="begin"/>
          </w:r>
          <w:r>
            <w:instrText xml:space="preserve"> HYPERLINK \l "_Toc123130275" </w:instrText>
          </w:r>
          <w:r>
            <w:fldChar w:fldCharType="separate"/>
          </w:r>
          <w:r>
            <w:rPr>
              <w:rStyle w:val="38"/>
              <w:rFonts w:asciiTheme="minorEastAsia" w:hAnsiTheme="minorEastAsia" w:eastAsiaTheme="minorEastAsia"/>
            </w:rPr>
            <w:t>9.3</w:t>
          </w:r>
          <w:r>
            <w:rPr>
              <w:rStyle w:val="38"/>
              <w:rFonts w:hint="eastAsia" w:asciiTheme="minorEastAsia" w:hAnsiTheme="minorEastAsia" w:eastAsiaTheme="minorEastAsia"/>
            </w:rPr>
            <w:t xml:space="preserve"> 贮存和运输</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_Toc123130275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76F82008">
          <w:pPr>
            <w:pStyle w:val="12"/>
            <w:ind w:firstLine="210"/>
            <w:rPr>
              <w:rFonts w:asciiTheme="minorHAnsi" w:hAnsiTheme="minorHAnsi" w:eastAsiaTheme="minorEastAsia" w:cstheme="minorBidi"/>
              <w:kern w:val="0"/>
              <w:sz w:val="22"/>
              <w:szCs w:val="22"/>
              <w:lang w:val="de-DE"/>
            </w:rPr>
          </w:pPr>
          <w:r>
            <w:fldChar w:fldCharType="begin"/>
          </w:r>
          <w:r>
            <w:instrText xml:space="preserve"> HYPERLINK \l "_Toc123130276" </w:instrText>
          </w:r>
          <w:r>
            <w:fldChar w:fldCharType="separate"/>
          </w:r>
          <w:r>
            <w:rPr>
              <w:rStyle w:val="38"/>
              <w:rFonts w:asciiTheme="minorEastAsia" w:hAnsiTheme="minorEastAsia" w:eastAsiaTheme="minorEastAsia"/>
            </w:rPr>
            <w:t>9.4</w:t>
          </w:r>
          <w:r>
            <w:rPr>
              <w:rStyle w:val="38"/>
              <w:rFonts w:hint="eastAsia" w:asciiTheme="minorEastAsia" w:hAnsiTheme="minorEastAsia" w:eastAsiaTheme="minorEastAsia"/>
            </w:rPr>
            <w:t xml:space="preserve"> 贮存</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_Toc123130276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3AB49C93">
          <w:r>
            <w:rPr>
              <w:b/>
              <w:bCs/>
              <w:lang w:val="zh-CN"/>
            </w:rPr>
            <w:fldChar w:fldCharType="end"/>
          </w:r>
        </w:p>
      </w:sdtContent>
    </w:sdt>
    <w:p w14:paraId="1EF586AE">
      <w:pPr>
        <w:pStyle w:val="108"/>
        <w:rPr>
          <w:rFonts w:hAnsi="宋体" w:cs="宋体"/>
        </w:rPr>
      </w:pPr>
    </w:p>
    <w:p w14:paraId="463BFBF2">
      <w:pPr>
        <w:pStyle w:val="112"/>
        <w:outlineLvl w:val="9"/>
        <w:rPr>
          <w:rFonts w:hint="eastAsia" w:ascii="黑体" w:hAnsi="黑体" w:eastAsia="黑体" w:cs="黑体"/>
        </w:rPr>
      </w:pPr>
      <w:bookmarkStart w:id="16" w:name="_Toc123130236"/>
      <w:bookmarkStart w:id="17" w:name="_Toc25062"/>
      <w:r>
        <w:rPr>
          <w:rFonts w:hint="eastAsia" w:ascii="黑体" w:hAnsi="黑体" w:eastAsia="黑体" w:cs="黑体"/>
        </w:rPr>
        <w:t>前</w:t>
      </w:r>
      <w:bookmarkStart w:id="18" w:name="BKQY"/>
      <w:r>
        <w:rPr>
          <w:rFonts w:hint="eastAsia" w:ascii="黑体" w:hAnsi="黑体" w:eastAsia="黑体" w:cs="黑体"/>
        </w:rPr>
        <w:t>  言</w:t>
      </w:r>
      <w:bookmarkEnd w:id="14"/>
      <w:bookmarkEnd w:id="15"/>
      <w:bookmarkEnd w:id="16"/>
      <w:bookmarkEnd w:id="17"/>
      <w:bookmarkEnd w:id="18"/>
    </w:p>
    <w:p w14:paraId="2E93D16B">
      <w:pPr>
        <w:pStyle w:val="23"/>
        <w:rPr>
          <w:rFonts w:hAnsi="宋体" w:cs="宋体"/>
        </w:rPr>
      </w:pPr>
      <w:r>
        <w:rPr>
          <w:rFonts w:hint="eastAsia" w:hAnsi="宋体" w:cs="宋体"/>
        </w:rPr>
        <w:t>本文件按照GB/T 1.1—2020的规定起草。</w:t>
      </w:r>
    </w:p>
    <w:p w14:paraId="530254E5">
      <w:pPr>
        <w:pStyle w:val="23"/>
        <w:rPr>
          <w:rFonts w:hAnsi="宋体" w:cs="宋体"/>
        </w:rPr>
      </w:pPr>
      <w:r>
        <w:rPr>
          <w:rFonts w:hint="eastAsia" w:hAnsi="宋体" w:cs="宋体"/>
        </w:rPr>
        <w:t>请注意本文件的某些内容可能涉及专利。本文件的发布机构不承担识别专利的责任。</w:t>
      </w:r>
    </w:p>
    <w:p w14:paraId="2E3395E9">
      <w:pPr>
        <w:pStyle w:val="23"/>
        <w:rPr>
          <w:rFonts w:hAnsi="宋体" w:cs="宋体"/>
        </w:rPr>
      </w:pPr>
      <w:r>
        <w:rPr>
          <w:rFonts w:hint="eastAsia" w:hAnsi="宋体" w:cs="宋体"/>
        </w:rPr>
        <w:t>本文件由广东省标准化</w:t>
      </w:r>
      <w:r>
        <w:rPr>
          <w:rFonts w:hAnsi="宋体" w:cs="宋体"/>
        </w:rPr>
        <w:t>研究院</w:t>
      </w:r>
      <w:r>
        <w:rPr>
          <w:rFonts w:hint="eastAsia" w:hAnsi="宋体" w:cs="宋体"/>
        </w:rPr>
        <w:t>提出。</w:t>
      </w:r>
    </w:p>
    <w:p w14:paraId="6974BA4B">
      <w:pPr>
        <w:pStyle w:val="23"/>
        <w:rPr>
          <w:rFonts w:hAnsi="宋体" w:cs="宋体"/>
        </w:rPr>
      </w:pPr>
      <w:r>
        <w:rPr>
          <w:rFonts w:hint="eastAsia" w:hAnsi="宋体" w:cs="宋体"/>
        </w:rPr>
        <w:t>本文件由广东省电机工程学会归口。</w:t>
      </w:r>
    </w:p>
    <w:p w14:paraId="144601C1">
      <w:pPr>
        <w:pStyle w:val="23"/>
        <w:rPr>
          <w:rFonts w:hint="eastAsia" w:hAnsi="宋体" w:cs="宋体"/>
        </w:rPr>
      </w:pPr>
      <w:r>
        <w:rPr>
          <w:rFonts w:hint="eastAsia" w:hAnsi="宋体" w:cs="宋体"/>
        </w:rPr>
        <w:t>本文件起草单位：广东省标准化研究院、广东产品质量监督检验研究院、广东中贝能源科技有限公司、中国质量认证中心广州分中心</w:t>
      </w:r>
      <w:r>
        <w:rPr>
          <w:rFonts w:hint="eastAsia" w:hAnsi="宋体" w:cs="宋体"/>
          <w:lang w:eastAsia="zh-CN"/>
        </w:rPr>
        <w:t>、</w:t>
      </w:r>
      <w:r>
        <w:rPr>
          <w:rFonts w:hint="eastAsia" w:hAnsi="宋体" w:cs="宋体"/>
          <w:lang w:val="en-US" w:eastAsia="zh-CN"/>
        </w:rPr>
        <w:t>中山市宝利金电子有限公司、广东中质检测技术有限公司、南方电网供应链集团有限公司</w:t>
      </w:r>
      <w:r>
        <w:rPr>
          <w:rFonts w:hint="eastAsia" w:hAnsi="宋体" w:cs="宋体"/>
          <w:lang w:eastAsia="zh-CN"/>
        </w:rPr>
        <w:t>、</w:t>
      </w:r>
      <w:r>
        <w:rPr>
          <w:rFonts w:hint="eastAsia" w:hAnsi="宋体" w:cs="宋体"/>
          <w:lang w:val="en-US" w:eastAsia="zh-CN"/>
        </w:rPr>
        <w:t>湖南电科院检测集团有限公司、深圳市光辉电器实业有限公司、广东明阳电气股份有限公司、广东中鹏电气有限公司、众源科技（广东）股份有限公司、广东浩城电气有限公司、德丰电创科技股份有限公司、广东必达电器有限公司、海鸿电气有限公司、广东珠江开关有限公司、广东联航智能科技有限公司、广州广高高压电器有限公司、广州市安固信息科技有限公司、广东联德检测技术服务有限公司、达测科技（广州））股份有限公司、广东省高新质量科学研究院</w:t>
      </w:r>
      <w:r>
        <w:rPr>
          <w:rFonts w:hint="eastAsia" w:hAnsi="宋体" w:cs="宋体"/>
        </w:rPr>
        <w:t>。</w:t>
      </w:r>
    </w:p>
    <w:p w14:paraId="6B5CC822">
      <w:pPr>
        <w:pStyle w:val="23"/>
        <w:rPr>
          <w:rFonts w:hAnsi="宋体" w:cs="宋体"/>
        </w:rPr>
      </w:pPr>
      <w:r>
        <w:rPr>
          <w:rFonts w:hint="eastAsia" w:hAnsi="宋体" w:cs="宋体"/>
        </w:rPr>
        <w:t>本文件主要起草人：赵婧、林志</w:t>
      </w:r>
      <w:r>
        <w:rPr>
          <w:rFonts w:hAnsi="宋体" w:cs="宋体"/>
        </w:rPr>
        <w:t>力</w:t>
      </w:r>
      <w:r>
        <w:rPr>
          <w:rFonts w:hint="eastAsia" w:hAnsi="宋体" w:cs="宋体"/>
        </w:rPr>
        <w:t>、白承宗、杨仁旭、刘野、李鹏、邱恒嘉</w:t>
      </w:r>
      <w:r>
        <w:rPr>
          <w:rFonts w:hint="eastAsia" w:hAnsi="宋体" w:cs="宋体"/>
          <w:lang w:eastAsia="zh-CN"/>
        </w:rPr>
        <w:t>、</w:t>
      </w:r>
      <w:r>
        <w:rPr>
          <w:rFonts w:hint="eastAsia" w:hAnsi="宋体" w:cs="宋体"/>
          <w:lang w:val="en-US" w:eastAsia="zh-CN"/>
        </w:rPr>
        <w:t>肖江村、杨茂昌、林俊容、杜明慧、梁耀明、李斌、王富忠、赖美云、王立新、陈锐涛、张静、胡育军、苏红元、杨斌、张小明、郭晨曦、李朋波、陈海聪、罗学成、唐建乐、曾鲲华、高垣照、刘跃占、邓美华、苏振业、丁前禄、王靖龙、梁羽、张喜娣、陈志平、陆永驰、陈建伸</w:t>
      </w:r>
      <w:r>
        <w:rPr>
          <w:rFonts w:hint="eastAsia" w:hAnsi="宋体" w:cs="宋体"/>
        </w:rPr>
        <w:t>。</w:t>
      </w:r>
    </w:p>
    <w:p w14:paraId="4741EECE">
      <w:pPr>
        <w:pStyle w:val="23"/>
        <w:rPr>
          <w:rFonts w:hAnsi="宋体" w:cs="宋体"/>
        </w:rPr>
      </w:pPr>
      <w:r>
        <w:rPr>
          <w:rFonts w:hint="eastAsia" w:hAnsi="宋体" w:cs="宋体"/>
        </w:rPr>
        <w:t>本文件为首次发布。</w:t>
      </w:r>
    </w:p>
    <w:p w14:paraId="3C149332">
      <w:pPr>
        <w:pStyle w:val="23"/>
        <w:rPr>
          <w:rFonts w:hAnsi="宋体" w:cs="宋体"/>
        </w:rPr>
        <w:sectPr>
          <w:headerReference r:id="rId4" w:type="default"/>
          <w:footerReference r:id="rId6" w:type="default"/>
          <w:headerReference r:id="rId5" w:type="even"/>
          <w:footerReference r:id="rId7" w:type="even"/>
          <w:pgSz w:w="11906" w:h="16838"/>
          <w:pgMar w:top="567" w:right="1134" w:bottom="1134" w:left="1418" w:header="1418" w:footer="1134" w:gutter="0"/>
          <w:pgNumType w:fmt="upperRoman" w:start="1"/>
          <w:cols w:space="425" w:num="1"/>
          <w:formProt w:val="0"/>
          <w:docGrid w:type="lines" w:linePitch="312" w:charSpace="0"/>
        </w:sectPr>
      </w:pPr>
    </w:p>
    <w:p w14:paraId="1B21A570">
      <w:pPr>
        <w:pStyle w:val="50"/>
        <w:outlineLvl w:val="9"/>
        <w:rPr>
          <w:rFonts w:ascii="宋体" w:hAnsi="宋体" w:eastAsia="宋体" w:cs="宋体"/>
        </w:rPr>
      </w:pPr>
      <w:bookmarkStart w:id="19" w:name="_Toc16745"/>
      <w:sdt>
        <w:sdtPr>
          <w:rPr>
            <w:rFonts w:hint="eastAsia" w:ascii="宋体" w:hAnsi="宋体" w:eastAsia="宋体" w:cs="宋体"/>
          </w:rPr>
          <w:alias w:val="标准名称"/>
          <w:tag w:val="标准名称"/>
          <w:id w:val="-383175343"/>
          <w:lock w:val="sdtLocked"/>
          <w:placeholder>
            <w:docPart w:val="111"/>
          </w:placeholder>
          <w:text w:multiLine="1"/>
        </w:sdtPr>
        <w:sdtEndPr>
          <w:rPr>
            <w:rFonts w:hint="eastAsia" w:ascii="宋体" w:hAnsi="宋体" w:eastAsia="宋体" w:cs="宋体"/>
          </w:rPr>
        </w:sdtEndPr>
        <w:sdtContent>
          <w:r>
            <w:rPr>
              <w:rFonts w:hint="eastAsia" w:ascii="宋体" w:hAnsi="宋体" w:eastAsia="宋体" w:cs="宋体"/>
            </w:rPr>
            <w:t>高压交流电路半导体开关设备技术规范</w:t>
          </w:r>
        </w:sdtContent>
      </w:sdt>
      <w:bookmarkEnd w:id="19"/>
      <w:bookmarkStart w:id="20" w:name="StandardName"/>
      <w:bookmarkEnd w:id="20"/>
    </w:p>
    <w:p w14:paraId="7016F749">
      <w:pPr>
        <w:pStyle w:val="45"/>
        <w:numPr>
          <w:ilvl w:val="0"/>
          <w:numId w:val="2"/>
        </w:numPr>
        <w:spacing w:before="312" w:after="312"/>
      </w:pPr>
      <w:bookmarkStart w:id="21" w:name="_Toc3167"/>
      <w:bookmarkStart w:id="22" w:name="_Toc44414103"/>
      <w:bookmarkStart w:id="23" w:name="_Toc123130237"/>
      <w:bookmarkStart w:id="24" w:name="_Toc52288516"/>
      <w:r>
        <w:rPr>
          <w:rFonts w:hint="eastAsia"/>
        </w:rPr>
        <w:t>范围</w:t>
      </w:r>
      <w:bookmarkEnd w:id="21"/>
      <w:bookmarkEnd w:id="22"/>
      <w:bookmarkEnd w:id="23"/>
      <w:bookmarkEnd w:id="24"/>
    </w:p>
    <w:p w14:paraId="5302E240">
      <w:pPr>
        <w:pStyle w:val="23"/>
        <w:rPr>
          <w:rFonts w:hAnsi="宋体" w:cs="宋体"/>
        </w:rPr>
      </w:pPr>
      <w:r>
        <w:rPr>
          <w:rFonts w:hint="eastAsia" w:hAnsi="宋体" w:cs="宋体"/>
          <w:szCs w:val="21"/>
        </w:rPr>
        <w:t>本文件规定了</w:t>
      </w:r>
      <w:r>
        <w:rPr>
          <w:rFonts w:hint="eastAsia" w:hAnsi="宋体" w:cs="宋体"/>
        </w:rPr>
        <w:t>使用可控和（或）不可控电子阀器件的</w:t>
      </w:r>
      <w:r>
        <w:rPr>
          <w:rFonts w:hint="eastAsia" w:hAnsi="宋体" w:cs="宋体"/>
          <w:szCs w:val="21"/>
        </w:rPr>
        <w:t>高压</w:t>
      </w:r>
      <w:r>
        <w:rPr>
          <w:rFonts w:hint="eastAsia" w:hAnsi="宋体" w:cs="宋体"/>
        </w:rPr>
        <w:t>交流电路半导体开关的技术要求、检验方法、</w:t>
      </w:r>
      <w:r>
        <w:rPr>
          <w:rFonts w:hAnsi="宋体" w:cs="宋体"/>
        </w:rPr>
        <w:t>包装</w:t>
      </w:r>
      <w:r>
        <w:rPr>
          <w:rFonts w:hint="eastAsia" w:hAnsi="宋体" w:cs="宋体"/>
        </w:rPr>
        <w:t>运输等内容。</w:t>
      </w:r>
    </w:p>
    <w:p w14:paraId="4FD3E9F6">
      <w:pPr>
        <w:pStyle w:val="23"/>
        <w:rPr>
          <w:rFonts w:hAnsi="宋体" w:cs="宋体"/>
          <w:szCs w:val="21"/>
        </w:rPr>
      </w:pPr>
      <w:r>
        <w:rPr>
          <w:rFonts w:hint="eastAsia" w:hAnsi="宋体" w:cs="宋体"/>
        </w:rPr>
        <w:t>本文件适用于设计</w:t>
      </w:r>
      <w:r>
        <w:rPr>
          <w:rFonts w:hint="eastAsia" w:hAnsi="宋体" w:cs="宋体"/>
          <w:lang w:eastAsia="zh-CN"/>
        </w:rPr>
        <w:t>应用于大容量试验室，不具备开断电流能力且需与其他操作断路器配合使用，</w:t>
      </w:r>
      <w:r>
        <w:rPr>
          <w:rFonts w:hint="eastAsia" w:hAnsi="宋体" w:cs="宋体"/>
        </w:rPr>
        <w:t>运行频率为50</w:t>
      </w:r>
      <w:r>
        <w:rPr>
          <w:rFonts w:hAnsi="宋体" w:cs="宋体"/>
        </w:rPr>
        <w:t xml:space="preserve"> </w:t>
      </w:r>
      <w:r>
        <w:rPr>
          <w:rFonts w:hint="eastAsia" w:hAnsi="宋体" w:cs="宋体"/>
        </w:rPr>
        <w:t>Hz/60</w:t>
      </w:r>
      <w:r>
        <w:rPr>
          <w:rFonts w:hAnsi="宋体" w:cs="宋体"/>
        </w:rPr>
        <w:t xml:space="preserve"> </w:t>
      </w:r>
      <w:r>
        <w:rPr>
          <w:rFonts w:hint="eastAsia" w:hAnsi="宋体" w:cs="宋体"/>
        </w:rPr>
        <w:t>Hz、电压3</w:t>
      </w:r>
      <w:r>
        <w:rPr>
          <w:rFonts w:hAnsi="宋体" w:cs="宋体"/>
        </w:rPr>
        <w:t>.6</w:t>
      </w:r>
      <w:r>
        <w:rPr>
          <w:rFonts w:hint="eastAsia" w:hAnsi="宋体" w:cs="宋体"/>
        </w:rPr>
        <w:t>kV及以上，最高电压40.5kV的高压交流电路</w:t>
      </w:r>
      <w:r>
        <w:rPr>
          <w:rFonts w:hint="eastAsia" w:hAnsi="宋体" w:cs="宋体"/>
          <w:szCs w:val="21"/>
        </w:rPr>
        <w:t>的电子式开关。</w:t>
      </w:r>
    </w:p>
    <w:p w14:paraId="1121ABC6">
      <w:pPr>
        <w:pStyle w:val="45"/>
        <w:numPr>
          <w:ilvl w:val="0"/>
          <w:numId w:val="2"/>
        </w:numPr>
        <w:spacing w:before="312" w:after="312"/>
      </w:pPr>
      <w:bookmarkStart w:id="25" w:name="_Toc44414104"/>
      <w:bookmarkStart w:id="26" w:name="_Toc52288517"/>
      <w:bookmarkStart w:id="27" w:name="_Toc5869"/>
      <w:bookmarkStart w:id="28" w:name="_Toc123130238"/>
      <w:r>
        <w:rPr>
          <w:rFonts w:hint="eastAsia"/>
        </w:rPr>
        <w:t>规范性引用文件</w:t>
      </w:r>
      <w:bookmarkEnd w:id="25"/>
      <w:bookmarkEnd w:id="26"/>
      <w:bookmarkEnd w:id="27"/>
      <w:bookmarkEnd w:id="28"/>
    </w:p>
    <w:p w14:paraId="3546B0FF">
      <w:pPr>
        <w:pStyle w:val="23"/>
        <w:rPr>
          <w:rFonts w:hAnsi="宋体" w:cs="宋体"/>
        </w:rPr>
      </w:pPr>
      <w:r>
        <w:rPr>
          <w:rFonts w:hint="eastAsia"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4A6CF84">
      <w:pPr>
        <w:pStyle w:val="23"/>
        <w:rPr>
          <w:rFonts w:hAnsi="宋体" w:cs="宋体"/>
        </w:rPr>
      </w:pPr>
      <w:r>
        <w:rPr>
          <w:rFonts w:hint="eastAsia" w:hAnsi="宋体" w:cs="宋体"/>
        </w:rPr>
        <w:t>GB/T 311.3 高压绝缘配合 第3部分：高压直流换流站绝缘配合程序</w:t>
      </w:r>
    </w:p>
    <w:p w14:paraId="4FBFE936">
      <w:pPr>
        <w:pStyle w:val="23"/>
        <w:rPr>
          <w:rFonts w:hint="eastAsia" w:hAnsi="宋体" w:cs="宋体"/>
        </w:rPr>
      </w:pPr>
      <w:r>
        <w:rPr>
          <w:rFonts w:hint="eastAsia" w:hAnsi="宋体" w:cs="宋体"/>
        </w:rPr>
        <w:t>GB</w:t>
      </w:r>
      <w:r>
        <w:rPr>
          <w:rFonts w:hAnsi="宋体" w:cs="宋体"/>
        </w:rPr>
        <w:t xml:space="preserve">/T 762 </w:t>
      </w:r>
      <w:r>
        <w:rPr>
          <w:rFonts w:hint="eastAsia" w:hAnsi="宋体" w:cs="宋体"/>
        </w:rPr>
        <w:t>标准电流等级</w:t>
      </w:r>
    </w:p>
    <w:p w14:paraId="17056854">
      <w:pPr>
        <w:pStyle w:val="23"/>
        <w:rPr>
          <w:rFonts w:hAnsi="宋体" w:cs="宋体"/>
        </w:rPr>
      </w:pPr>
      <w:r>
        <w:rPr>
          <w:rFonts w:hint="eastAsia" w:hAnsi="宋体" w:cs="宋体"/>
        </w:rPr>
        <w:t>GB/T 3859.1 半导体开关基本要求的规定</w:t>
      </w:r>
    </w:p>
    <w:p w14:paraId="32AF2CD6">
      <w:pPr>
        <w:pStyle w:val="23"/>
        <w:rPr>
          <w:rFonts w:hAnsi="宋体" w:cs="宋体"/>
        </w:rPr>
      </w:pPr>
      <w:r>
        <w:rPr>
          <w:rFonts w:hint="eastAsia" w:hAnsi="宋体" w:cs="宋体"/>
        </w:rPr>
        <w:t>GB/T 3859.2 半导体开关 应用导则</w:t>
      </w:r>
    </w:p>
    <w:p w14:paraId="3B9F808F">
      <w:pPr>
        <w:pStyle w:val="23"/>
        <w:rPr>
          <w:rFonts w:hAnsi="宋体" w:cs="宋体"/>
        </w:rPr>
      </w:pPr>
      <w:r>
        <w:rPr>
          <w:rFonts w:hint="eastAsia" w:hAnsi="宋体" w:cs="宋体"/>
        </w:rPr>
        <w:t>GB/T</w:t>
      </w:r>
      <w:r>
        <w:rPr>
          <w:rFonts w:hAnsi="宋体" w:cs="宋体"/>
        </w:rPr>
        <w:t xml:space="preserve"> </w:t>
      </w:r>
      <w:r>
        <w:rPr>
          <w:rFonts w:hint="eastAsia" w:hAnsi="宋体" w:cs="宋体"/>
        </w:rPr>
        <w:t>4208  外壳防护等级</w:t>
      </w:r>
    </w:p>
    <w:p w14:paraId="70C07A95">
      <w:pPr>
        <w:pStyle w:val="23"/>
        <w:rPr>
          <w:rFonts w:hAnsi="宋体" w:cs="宋体"/>
        </w:rPr>
      </w:pPr>
      <w:r>
        <w:rPr>
          <w:rFonts w:hint="eastAsia" w:hAnsi="宋体" w:cs="宋体"/>
        </w:rPr>
        <w:t>GB/T 10236 半导体开关与供电系统的兼容及干扰防护导则</w:t>
      </w:r>
    </w:p>
    <w:p w14:paraId="4CDCBC16">
      <w:pPr>
        <w:pStyle w:val="23"/>
        <w:rPr>
          <w:rFonts w:hAnsi="宋体" w:cs="宋体"/>
        </w:rPr>
      </w:pPr>
      <w:r>
        <w:rPr>
          <w:rFonts w:hAnsi="宋体" w:cs="宋体"/>
        </w:rPr>
        <w:t>GB</w:t>
      </w:r>
      <w:r>
        <w:rPr>
          <w:rFonts w:hint="eastAsia" w:hAnsi="宋体" w:cs="宋体"/>
        </w:rPr>
        <w:t>/T</w:t>
      </w:r>
      <w:r>
        <w:rPr>
          <w:rFonts w:hAnsi="宋体" w:cs="宋体"/>
        </w:rPr>
        <w:t xml:space="preserve"> 11022-2020 </w:t>
      </w:r>
      <w:r>
        <w:rPr>
          <w:rFonts w:hint="eastAsia" w:hAnsi="宋体" w:cs="宋体"/>
        </w:rPr>
        <w:t>高压交流开关设备和控制设备标准的共用技术要求</w:t>
      </w:r>
    </w:p>
    <w:p w14:paraId="55C798CE">
      <w:pPr>
        <w:pStyle w:val="23"/>
        <w:rPr>
          <w:rFonts w:hAnsi="宋体" w:cs="宋体"/>
        </w:rPr>
      </w:pPr>
      <w:r>
        <w:rPr>
          <w:rFonts w:hint="eastAsia" w:hAnsi="宋体" w:cs="宋体"/>
        </w:rPr>
        <w:t>GB/T 13422 半导体电力开关电气试验方法</w:t>
      </w:r>
    </w:p>
    <w:p w14:paraId="11791341">
      <w:pPr>
        <w:pStyle w:val="23"/>
        <w:rPr>
          <w:rFonts w:hAnsi="宋体" w:cs="宋体"/>
          <w:szCs w:val="21"/>
        </w:rPr>
      </w:pPr>
      <w:r>
        <w:rPr>
          <w:rFonts w:hAnsi="宋体" w:cs="宋体"/>
          <w:szCs w:val="21"/>
        </w:rPr>
        <w:t>GB/T 20840.8-2007</w:t>
      </w:r>
      <w:r>
        <w:rPr>
          <w:rFonts w:hint="eastAsia" w:hAnsi="宋体" w:cs="宋体"/>
          <w:szCs w:val="21"/>
        </w:rPr>
        <w:t xml:space="preserve"> 互感器 第8部分：电子式电流互感器</w:t>
      </w:r>
    </w:p>
    <w:p w14:paraId="1D692205">
      <w:pPr>
        <w:pStyle w:val="23"/>
        <w:rPr>
          <w:rFonts w:hAnsi="宋体" w:cs="宋体"/>
          <w:szCs w:val="21"/>
        </w:rPr>
      </w:pPr>
      <w:r>
        <w:rPr>
          <w:rFonts w:hAnsi="宋体" w:cs="宋体"/>
          <w:szCs w:val="21"/>
        </w:rPr>
        <w:t xml:space="preserve">GB/T 26216.1-2010 </w:t>
      </w:r>
      <w:r>
        <w:rPr>
          <w:rFonts w:hint="eastAsia" w:hAnsi="宋体" w:cs="宋体"/>
          <w:szCs w:val="21"/>
        </w:rPr>
        <w:t>高压直流输电系统直流电流测量装置 第1部分：电子式直流电流测量装置</w:t>
      </w:r>
    </w:p>
    <w:p w14:paraId="1DB2B7DD">
      <w:pPr>
        <w:pStyle w:val="45"/>
        <w:numPr>
          <w:ilvl w:val="0"/>
          <w:numId w:val="2"/>
        </w:numPr>
        <w:spacing w:before="312" w:after="312"/>
      </w:pPr>
      <w:bookmarkStart w:id="29" w:name="_Toc123130239"/>
      <w:bookmarkStart w:id="30" w:name="_Toc52289499"/>
      <w:r>
        <w:rPr>
          <w:rFonts w:hint="eastAsia"/>
        </w:rPr>
        <w:t>术</w:t>
      </w:r>
      <w:r>
        <w:t>语和定</w:t>
      </w:r>
      <w:r>
        <w:rPr>
          <w:rFonts w:hint="eastAsia"/>
        </w:rPr>
        <w:t>义</w:t>
      </w:r>
      <w:bookmarkEnd w:id="29"/>
      <w:bookmarkEnd w:id="30"/>
    </w:p>
    <w:p w14:paraId="36FE6FD8">
      <w:pPr>
        <w:widowControl/>
        <w:tabs>
          <w:tab w:val="center" w:pos="4201"/>
          <w:tab w:val="right" w:leader="dot" w:pos="9298"/>
        </w:tabs>
        <w:autoSpaceDE w:val="0"/>
        <w:autoSpaceDN w:val="0"/>
        <w:ind w:firstLine="420" w:firstLineChars="200"/>
        <w:rPr>
          <w:rFonts w:ascii="宋体"/>
          <w:kern w:val="0"/>
          <w:szCs w:val="20"/>
        </w:rPr>
      </w:pPr>
      <w:r>
        <w:rPr>
          <w:rFonts w:ascii="宋体"/>
          <w:kern w:val="0"/>
          <w:szCs w:val="20"/>
        </w:rPr>
        <w:t>GB/T 3859.1-2013</w:t>
      </w:r>
      <w:r>
        <w:rPr>
          <w:rFonts w:hint="eastAsia" w:ascii="宋体"/>
          <w:kern w:val="0"/>
          <w:szCs w:val="20"/>
        </w:rPr>
        <w:t>、</w:t>
      </w:r>
      <w:r>
        <w:rPr>
          <w:rFonts w:ascii="宋体"/>
          <w:kern w:val="0"/>
          <w:szCs w:val="20"/>
        </w:rPr>
        <w:t>GB/T 20840.8-2007</w:t>
      </w:r>
      <w:r>
        <w:rPr>
          <w:rFonts w:hint="eastAsia" w:ascii="宋体"/>
          <w:kern w:val="0"/>
          <w:szCs w:val="20"/>
        </w:rPr>
        <w:t>和</w:t>
      </w:r>
      <w:r>
        <w:rPr>
          <w:rFonts w:ascii="宋体"/>
          <w:kern w:val="0"/>
          <w:szCs w:val="20"/>
        </w:rPr>
        <w:t>GB/T 26216.1-2010</w:t>
      </w:r>
      <w:r>
        <w:rPr>
          <w:rFonts w:hint="eastAsia" w:ascii="宋体"/>
          <w:kern w:val="0"/>
          <w:szCs w:val="20"/>
        </w:rPr>
        <w:t>界</w:t>
      </w:r>
      <w:r>
        <w:rPr>
          <w:rFonts w:ascii="宋体"/>
          <w:kern w:val="0"/>
          <w:szCs w:val="20"/>
        </w:rPr>
        <w:t>定的</w:t>
      </w:r>
      <w:r>
        <w:rPr>
          <w:rFonts w:hint="eastAsia" w:ascii="宋体"/>
          <w:kern w:val="0"/>
          <w:szCs w:val="20"/>
          <w:lang w:eastAsia="zh-CN"/>
        </w:rPr>
        <w:t>以及下列</w:t>
      </w:r>
      <w:r>
        <w:rPr>
          <w:rFonts w:ascii="宋体"/>
          <w:kern w:val="0"/>
          <w:szCs w:val="20"/>
        </w:rPr>
        <w:t>术语和定义适用于本文件。</w:t>
      </w:r>
    </w:p>
    <w:p w14:paraId="2671AB9E">
      <w:pPr>
        <w:pStyle w:val="145"/>
        <w:spacing w:after="0" w:line="317" w:lineRule="exact"/>
        <w:jc w:val="left"/>
        <w:rPr>
          <w:rFonts w:ascii="黑体" w:hAnsi="黑体" w:eastAsia="黑体" w:cs="宋体"/>
          <w:color w:val="000000"/>
          <w:sz w:val="21"/>
          <w:szCs w:val="21"/>
          <w:lang w:bidi="en-US"/>
        </w:rPr>
      </w:pPr>
    </w:p>
    <w:p w14:paraId="7681EAD3">
      <w:pPr>
        <w:pStyle w:val="145"/>
        <w:spacing w:after="0" w:line="298" w:lineRule="exact"/>
        <w:rPr>
          <w:rFonts w:hint="eastAsia" w:ascii="黑体" w:hAnsi="黑体" w:eastAsia="黑体" w:cs="黑体"/>
          <w:color w:val="000000"/>
          <w:sz w:val="21"/>
          <w:szCs w:val="21"/>
          <w:lang w:val="en-US" w:eastAsia="zh-CN" w:bidi="en-US"/>
        </w:rPr>
      </w:pPr>
      <w:r>
        <w:rPr>
          <w:rFonts w:hint="eastAsia" w:ascii="黑体" w:hAnsi="黑体" w:eastAsia="黑体" w:cs="黑体"/>
          <w:color w:val="000000"/>
          <w:sz w:val="21"/>
          <w:szCs w:val="21"/>
          <w:lang w:bidi="en-US"/>
        </w:rPr>
        <w:t>3.</w:t>
      </w:r>
      <w:r>
        <w:rPr>
          <w:rFonts w:hint="eastAsia" w:ascii="黑体" w:hAnsi="黑体" w:eastAsia="黑体" w:cs="黑体"/>
          <w:color w:val="000000"/>
          <w:sz w:val="21"/>
          <w:szCs w:val="21"/>
          <w:lang w:val="en-US" w:eastAsia="zh-CN" w:bidi="en-US"/>
        </w:rPr>
        <w:t>1</w:t>
      </w:r>
    </w:p>
    <w:p w14:paraId="4710F4FA">
      <w:pPr>
        <w:widowControl/>
        <w:tabs>
          <w:tab w:val="center" w:pos="4201"/>
          <w:tab w:val="right" w:leader="dot" w:pos="9298"/>
        </w:tabs>
        <w:autoSpaceDE w:val="0"/>
        <w:autoSpaceDN w:val="0"/>
        <w:ind w:firstLine="420" w:firstLineChars="200"/>
        <w:rPr>
          <w:rFonts w:hint="eastAsia" w:ascii="宋体" w:hAnsi="宋体" w:cs="宋体"/>
          <w:color w:val="000000"/>
          <w:sz w:val="21"/>
          <w:szCs w:val="21"/>
          <w:lang w:val="en-US" w:eastAsia="zh-CN" w:bidi="en-US"/>
        </w:rPr>
      </w:pPr>
      <w:r>
        <w:rPr>
          <w:rFonts w:hint="eastAsia" w:ascii="黑体" w:hAnsi="黑体" w:eastAsia="黑体" w:cs="黑体"/>
          <w:color w:val="000000"/>
          <w:sz w:val="21"/>
          <w:szCs w:val="21"/>
          <w:lang w:val="en-US" w:eastAsia="zh-CN" w:bidi="en-US"/>
        </w:rPr>
        <w:t>工作制度 work system</w:t>
      </w:r>
    </w:p>
    <w:p w14:paraId="5DC79575">
      <w:pPr>
        <w:widowControl/>
        <w:tabs>
          <w:tab w:val="center" w:pos="4201"/>
          <w:tab w:val="right" w:leader="dot" w:pos="9298"/>
        </w:tabs>
        <w:autoSpaceDE w:val="0"/>
        <w:autoSpaceDN w:val="0"/>
        <w:ind w:firstLine="420" w:firstLineChars="200"/>
        <w:rPr>
          <w:rFonts w:hint="eastAsia" w:ascii="宋体" w:hAnsi="宋体" w:cs="宋体"/>
          <w:color w:val="000000"/>
          <w:sz w:val="21"/>
          <w:szCs w:val="21"/>
          <w:lang w:val="en-US" w:eastAsia="zh-CN" w:bidi="en-US"/>
        </w:rPr>
      </w:pPr>
      <w:r>
        <w:rPr>
          <w:rFonts w:hint="eastAsia" w:ascii="宋体" w:hAnsi="宋体" w:cs="宋体"/>
          <w:color w:val="000000"/>
          <w:sz w:val="21"/>
          <w:szCs w:val="21"/>
          <w:lang w:val="en-US" w:eastAsia="zh-CN" w:bidi="en-US"/>
        </w:rPr>
        <w:t>开关正常工作时通流大小、持续时间、间隔时间的关系。</w:t>
      </w:r>
    </w:p>
    <w:p w14:paraId="61CAF39B">
      <w:pPr>
        <w:pStyle w:val="145"/>
        <w:spacing w:after="0" w:line="298" w:lineRule="exact"/>
        <w:rPr>
          <w:rFonts w:hint="eastAsia" w:ascii="黑体" w:hAnsi="黑体" w:eastAsia="黑体" w:cs="黑体"/>
          <w:color w:val="000000"/>
          <w:sz w:val="21"/>
          <w:szCs w:val="21"/>
          <w:lang w:val="en-US" w:eastAsia="zh-CN" w:bidi="en-US"/>
        </w:rPr>
      </w:pPr>
      <w:r>
        <w:rPr>
          <w:rFonts w:hint="eastAsia" w:ascii="黑体" w:hAnsi="黑体" w:eastAsia="黑体" w:cs="黑体"/>
          <w:color w:val="000000"/>
          <w:sz w:val="21"/>
          <w:szCs w:val="21"/>
          <w:lang w:val="en-US" w:eastAsia="zh-CN" w:bidi="en-US"/>
        </w:rPr>
        <w:t>3.2</w:t>
      </w:r>
    </w:p>
    <w:p w14:paraId="14074C74">
      <w:pPr>
        <w:widowControl/>
        <w:tabs>
          <w:tab w:val="center" w:pos="4201"/>
          <w:tab w:val="right" w:leader="dot" w:pos="9298"/>
        </w:tabs>
        <w:autoSpaceDE w:val="0"/>
        <w:autoSpaceDN w:val="0"/>
        <w:ind w:firstLine="420" w:firstLineChars="200"/>
        <w:rPr>
          <w:rFonts w:hint="eastAsia" w:ascii="宋体" w:hAnsi="宋体" w:cs="宋体"/>
          <w:color w:val="000000"/>
          <w:sz w:val="21"/>
          <w:szCs w:val="21"/>
          <w:lang w:val="en-US" w:eastAsia="zh-CN" w:bidi="en-US"/>
        </w:rPr>
      </w:pPr>
      <w:r>
        <w:rPr>
          <w:rFonts w:hint="eastAsia" w:ascii="黑体" w:hAnsi="黑体" w:eastAsia="黑体" w:cs="黑体"/>
          <w:color w:val="000000"/>
          <w:sz w:val="21"/>
          <w:szCs w:val="21"/>
          <w:lang w:val="en-US" w:eastAsia="zh-CN" w:bidi="en-US"/>
        </w:rPr>
        <w:t>轻载试验 light load test</w:t>
      </w:r>
    </w:p>
    <w:p w14:paraId="7D53BF54">
      <w:pPr>
        <w:widowControl/>
        <w:tabs>
          <w:tab w:val="center" w:pos="4201"/>
          <w:tab w:val="right" w:leader="dot" w:pos="9298"/>
        </w:tabs>
        <w:autoSpaceDE w:val="0"/>
        <w:autoSpaceDN w:val="0"/>
        <w:ind w:firstLine="420" w:firstLineChars="200"/>
        <w:rPr>
          <w:rFonts w:ascii="宋体" w:hAnsi="宋体" w:cs="宋体"/>
          <w:color w:val="000000"/>
          <w:sz w:val="21"/>
          <w:szCs w:val="21"/>
          <w:lang w:bidi="en-US"/>
        </w:rPr>
      </w:pPr>
      <w:r>
        <w:rPr>
          <w:rFonts w:hint="eastAsia" w:ascii="宋体" w:hAnsi="宋体" w:cs="宋体"/>
          <w:color w:val="000000"/>
          <w:sz w:val="21"/>
          <w:szCs w:val="21"/>
          <w:lang w:val="en-US" w:eastAsia="zh-CN" w:bidi="en-US"/>
        </w:rPr>
        <w:t>设备</w:t>
      </w:r>
      <w:r>
        <w:rPr>
          <w:rFonts w:hint="eastAsia" w:ascii="宋体" w:hAnsi="宋体" w:eastAsia="宋体" w:cs="宋体"/>
          <w:i w:val="0"/>
          <w:iCs w:val="0"/>
          <w:caps w:val="0"/>
          <w:color w:val="000000"/>
          <w:spacing w:val="0"/>
          <w:sz w:val="21"/>
          <w:szCs w:val="21"/>
          <w:shd w:val="clear" w:fill="auto"/>
          <w:lang w:bidi="en-US"/>
        </w:rPr>
        <w:t>负载率在30%以下</w:t>
      </w:r>
      <w:r>
        <w:rPr>
          <w:rFonts w:hint="eastAsia" w:ascii="宋体" w:hAnsi="宋体" w:eastAsia="宋体" w:cs="宋体"/>
          <w:i w:val="0"/>
          <w:iCs w:val="0"/>
          <w:caps w:val="0"/>
          <w:color w:val="000000"/>
          <w:spacing w:val="0"/>
          <w:sz w:val="21"/>
          <w:szCs w:val="21"/>
          <w:shd w:val="clear" w:fill="auto"/>
          <w:lang w:eastAsia="zh-CN" w:bidi="en-US"/>
        </w:rPr>
        <w:t>时进行的相关功能性验证。</w:t>
      </w:r>
    </w:p>
    <w:p w14:paraId="1DC1285F">
      <w:pPr>
        <w:widowControl/>
        <w:numPr>
          <w:ilvl w:val="0"/>
          <w:numId w:val="2"/>
        </w:numPr>
        <w:adjustRightInd w:val="0"/>
        <w:snapToGrid w:val="0"/>
        <w:spacing w:before="312" w:beforeLines="100" w:after="312" w:afterLines="100"/>
        <w:outlineLvl w:val="1"/>
        <w:rPr>
          <w:rFonts w:ascii="黑体" w:hAnsi="黑体" w:eastAsia="黑体" w:cs="宋体"/>
          <w:bCs/>
          <w:kern w:val="0"/>
          <w:szCs w:val="21"/>
        </w:rPr>
      </w:pPr>
      <w:bookmarkStart w:id="31" w:name="_Toc123130240"/>
      <w:bookmarkStart w:id="32" w:name="_Toc9190"/>
      <w:bookmarkStart w:id="33" w:name="_Toc44414105"/>
      <w:bookmarkStart w:id="34" w:name="_Toc52288518"/>
      <w:r>
        <w:rPr>
          <w:rFonts w:hint="eastAsia" w:ascii="黑体" w:hAnsi="黑体" w:eastAsia="黑体" w:cs="宋体"/>
          <w:bCs/>
          <w:kern w:val="0"/>
          <w:szCs w:val="21"/>
        </w:rPr>
        <w:t>结构和</w:t>
      </w:r>
      <w:r>
        <w:rPr>
          <w:rFonts w:ascii="黑体" w:hAnsi="黑体" w:eastAsia="黑体" w:cs="宋体"/>
          <w:bCs/>
          <w:kern w:val="0"/>
          <w:szCs w:val="21"/>
        </w:rPr>
        <w:t>控制</w:t>
      </w:r>
      <w:bookmarkEnd w:id="31"/>
    </w:p>
    <w:p w14:paraId="0946CA5A">
      <w:pPr>
        <w:widowControl/>
        <w:numPr>
          <w:ilvl w:val="1"/>
          <w:numId w:val="2"/>
        </w:numPr>
        <w:adjustRightInd w:val="0"/>
        <w:snapToGrid w:val="0"/>
        <w:spacing w:before="156" w:beforeLines="50" w:after="156" w:afterLines="50"/>
        <w:ind w:left="0"/>
        <w:outlineLvl w:val="2"/>
        <w:rPr>
          <w:rFonts w:ascii="黑体" w:eastAsia="黑体"/>
          <w:kern w:val="0"/>
          <w:szCs w:val="20"/>
        </w:rPr>
      </w:pPr>
      <w:bookmarkStart w:id="35" w:name="_Toc123130241"/>
      <w:r>
        <w:rPr>
          <w:rFonts w:hint="eastAsia" w:ascii="黑体" w:eastAsia="黑体"/>
          <w:kern w:val="0"/>
          <w:szCs w:val="20"/>
        </w:rPr>
        <w:t>结构组成</w:t>
      </w:r>
      <w:bookmarkEnd w:id="35"/>
    </w:p>
    <w:p w14:paraId="28651769">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bidi="zh-TW"/>
        </w:rPr>
        <w:t>三相</w:t>
      </w:r>
      <w:r>
        <w:rPr>
          <w:rFonts w:hint="eastAsia" w:asciiTheme="minorEastAsia" w:hAnsiTheme="minorEastAsia" w:eastAsiaTheme="minorEastAsia"/>
          <w:lang w:val="zh-TW" w:eastAsia="zh-TW" w:bidi="zh-TW"/>
        </w:rPr>
        <w:t>半导体开关由三个合闸开关组成，每</w:t>
      </w:r>
      <w:r>
        <w:rPr>
          <w:rFonts w:hint="eastAsia" w:asciiTheme="minorEastAsia" w:hAnsiTheme="minorEastAsia" w:eastAsiaTheme="minorEastAsia"/>
          <w:lang w:bidi="zh-TW"/>
        </w:rPr>
        <w:t>相</w:t>
      </w:r>
      <w:r>
        <w:rPr>
          <w:rFonts w:hint="eastAsia" w:asciiTheme="minorEastAsia" w:hAnsiTheme="minorEastAsia" w:eastAsiaTheme="minorEastAsia"/>
          <w:lang w:val="zh-TW" w:eastAsia="zh-TW" w:bidi="zh-TW"/>
        </w:rPr>
        <w:t>合闸开关为由两组晶闸管可控臂构成的阀组，如图1所示</w:t>
      </w:r>
      <w:r>
        <w:rPr>
          <w:rFonts w:hint="eastAsia" w:asciiTheme="minorEastAsia" w:hAnsiTheme="minorEastAsia" w:eastAsiaTheme="minorEastAsia"/>
          <w:lang w:val="zh-TW" w:eastAsia="zh-CN" w:bidi="zh-TW"/>
        </w:rPr>
        <w:t>，系统拓扑结构如图</w:t>
      </w:r>
      <w:r>
        <w:rPr>
          <w:rFonts w:hint="eastAsia" w:asciiTheme="minorEastAsia" w:hAnsiTheme="minorEastAsia" w:eastAsiaTheme="minorEastAsia"/>
          <w:lang w:val="en-US" w:eastAsia="zh-CN" w:bidi="zh-TW"/>
        </w:rPr>
        <w:t>2所示。</w:t>
      </w:r>
    </w:p>
    <w:p w14:paraId="41F934A2">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每个阀组包含配套的触发控制、过压保护、散热设备及其他辅助设备。为提高电气隔离性能和抗干扰性能，每个阀组应单独一个柜体。</w:t>
      </w:r>
    </w:p>
    <w:p w14:paraId="4A58678A">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每个阀组的控制装置应单独组柜、相互独立，能够分相进行选相操作。通过光纤与开关主柜体通讯，应避免阀组与控制装置有直接的电气联系。</w:t>
      </w:r>
    </w:p>
    <w:p w14:paraId="77E384F2">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在高压交流短路试验回路中，开关通过阀组中晶闸管移相和过零触发，准确地控制合闸的起始相角；且接通一相电路，阀组通过晶闸管串并联提高开关的耐压水平及通流能力。</w:t>
      </w:r>
    </w:p>
    <w:p w14:paraId="78671D4E">
      <w:pPr>
        <w:widowControl/>
        <w:tabs>
          <w:tab w:val="center" w:pos="4201"/>
          <w:tab w:val="right" w:leader="dot" w:pos="9298"/>
        </w:tabs>
        <w:autoSpaceDE w:val="0"/>
        <w:autoSpaceDN w:val="0"/>
        <w:ind w:firstLine="420" w:firstLineChars="200"/>
        <w:jc w:val="left"/>
        <w:rPr>
          <w:rFonts w:ascii="宋体" w:hAnsi="宋体" w:cs="宋体"/>
          <w:szCs w:val="21"/>
        </w:rPr>
      </w:pPr>
    </w:p>
    <w:p w14:paraId="46822443">
      <w:pPr>
        <w:widowControl/>
        <w:tabs>
          <w:tab w:val="center" w:pos="4201"/>
          <w:tab w:val="right" w:leader="dot" w:pos="9298"/>
        </w:tabs>
        <w:autoSpaceDE w:val="0"/>
        <w:autoSpaceDN w:val="0"/>
        <w:jc w:val="center"/>
        <w:rPr>
          <w:rFonts w:ascii="宋体" w:hAnsi="宋体" w:cs="宋体"/>
          <w:kern w:val="0"/>
          <w:sz w:val="28"/>
          <w:szCs w:val="28"/>
        </w:rPr>
      </w:pPr>
      <w:r>
        <w:rPr>
          <w:rFonts w:hint="eastAsia" w:ascii="宋体" w:hAnsi="宋体" w:cs="宋体"/>
          <w:kern w:val="0"/>
          <w:sz w:val="28"/>
          <w:szCs w:val="28"/>
        </w:rPr>
        <w:object>
          <v:shape id="_x0000_i1025" o:spt="75" type="#_x0000_t75" style="height:244.5pt;width:259.5pt;" o:ole="t" filled="f" o:preferrelative="f" stroked="f" coordsize="21600,21600">
            <v:path/>
            <v:fill on="f" focussize="0,0"/>
            <v:stroke on="f" joinstyle="miter"/>
            <v:imagedata r:id="rId11" o:title=""/>
            <o:lock v:ext="edit" aspectratio="t"/>
            <w10:wrap type="none"/>
            <w10:anchorlock/>
          </v:shape>
          <o:OLEObject Type="Embed" ProgID="Visio.Drawing.11" ShapeID="_x0000_i1025" DrawAspect="Content" ObjectID="_1468075725">
            <o:LockedField>false</o:LockedField>
          </o:OLEObject>
        </w:object>
      </w:r>
    </w:p>
    <w:p w14:paraId="3F3274B1">
      <w:pPr>
        <w:widowControl/>
        <w:tabs>
          <w:tab w:val="center" w:pos="4201"/>
          <w:tab w:val="right" w:leader="dot" w:pos="9298"/>
        </w:tabs>
        <w:autoSpaceDE w:val="0"/>
        <w:autoSpaceDN w:val="0"/>
        <w:ind w:firstLine="360" w:firstLineChars="200"/>
        <w:jc w:val="left"/>
        <w:rPr>
          <w:rFonts w:ascii="宋体" w:hAnsi="宋体" w:cs="宋体"/>
          <w:kern w:val="0"/>
          <w:sz w:val="18"/>
          <w:szCs w:val="28"/>
        </w:rPr>
      </w:pPr>
      <w:r>
        <w:rPr>
          <w:rFonts w:hint="eastAsia" w:ascii="宋体" w:hAnsi="宋体" w:cs="宋体"/>
          <w:kern w:val="0"/>
          <w:sz w:val="18"/>
          <w:szCs w:val="28"/>
        </w:rPr>
        <w:t>图中，Ua、Ub、Uc为三相交流电源，VT1～VT6为主臂，组成3</w:t>
      </w:r>
      <w:r>
        <w:rPr>
          <w:rFonts w:ascii="宋体" w:hAnsi="宋体" w:cs="宋体"/>
          <w:kern w:val="0"/>
          <w:sz w:val="18"/>
          <w:szCs w:val="28"/>
        </w:rPr>
        <w:t>组</w:t>
      </w:r>
      <w:r>
        <w:rPr>
          <w:rFonts w:hint="eastAsia" w:ascii="宋体" w:hAnsi="宋体" w:cs="宋体"/>
          <w:kern w:val="0"/>
          <w:sz w:val="18"/>
          <w:szCs w:val="28"/>
        </w:rPr>
        <w:t>阀组。</w:t>
      </w:r>
    </w:p>
    <w:p w14:paraId="212A4F2C">
      <w:pPr>
        <w:widowControl/>
        <w:tabs>
          <w:tab w:val="center" w:pos="4201"/>
          <w:tab w:val="right" w:leader="dot" w:pos="9298"/>
        </w:tabs>
        <w:autoSpaceDE w:val="0"/>
        <w:autoSpaceDN w:val="0"/>
        <w:jc w:val="center"/>
        <w:rPr>
          <w:rFonts w:ascii="宋体" w:hAnsi="宋体" w:cs="宋体"/>
          <w:kern w:val="0"/>
          <w:szCs w:val="20"/>
        </w:rPr>
      </w:pPr>
    </w:p>
    <w:p w14:paraId="263A561C">
      <w:pPr>
        <w:widowControl/>
        <w:tabs>
          <w:tab w:val="center" w:pos="4201"/>
          <w:tab w:val="right" w:leader="dot" w:pos="9298"/>
        </w:tabs>
        <w:autoSpaceDE w:val="0"/>
        <w:autoSpaceDN w:val="0"/>
        <w:jc w:val="center"/>
        <w:rPr>
          <w:rFonts w:hint="eastAsia" w:ascii="宋体" w:hAnsi="宋体" w:cs="宋体"/>
          <w:kern w:val="0"/>
          <w:szCs w:val="21"/>
        </w:rPr>
      </w:pPr>
      <w:r>
        <w:rPr>
          <w:rFonts w:hint="eastAsia" w:ascii="宋体" w:hAnsi="宋体" w:cs="宋体"/>
          <w:kern w:val="0"/>
          <w:szCs w:val="21"/>
        </w:rPr>
        <w:t>图1 晶闸管开关接线原理图</w:t>
      </w:r>
    </w:p>
    <w:p w14:paraId="247CF4E1">
      <w:pPr>
        <w:widowControl/>
        <w:tabs>
          <w:tab w:val="center" w:pos="4201"/>
          <w:tab w:val="right" w:leader="dot" w:pos="9298"/>
        </w:tabs>
        <w:autoSpaceDE w:val="0"/>
        <w:autoSpaceDN w:val="0"/>
        <w:jc w:val="center"/>
        <w:rPr>
          <w:rFonts w:hint="eastAsia" w:ascii="宋体" w:hAnsi="宋体" w:cs="宋体"/>
          <w:kern w:val="0"/>
          <w:szCs w:val="21"/>
        </w:rPr>
      </w:pPr>
    </w:p>
    <w:p w14:paraId="62BE3CE9">
      <w:pPr>
        <w:widowControl/>
        <w:tabs>
          <w:tab w:val="center" w:pos="4201"/>
          <w:tab w:val="right" w:leader="dot" w:pos="9298"/>
        </w:tabs>
        <w:autoSpaceDE w:val="0"/>
        <w:autoSpaceDN w:val="0"/>
        <w:jc w:val="center"/>
        <w:rPr>
          <w:rFonts w:hint="eastAsia" w:ascii="宋体" w:hAnsi="宋体" w:cs="宋体"/>
          <w:kern w:val="0"/>
          <w:szCs w:val="21"/>
          <w:lang w:eastAsia="zh-CN"/>
        </w:rPr>
      </w:pPr>
      <w:r>
        <w:rPr>
          <w:rFonts w:hint="eastAsia" w:ascii="微软雅黑" w:hAnsi="微软雅黑" w:eastAsia="微软雅黑"/>
          <w:color w:val="004080"/>
          <w:sz w:val="24"/>
          <w:szCs w:val="24"/>
          <w:lang w:val="zh-CN"/>
        </w:rPr>
        <w:drawing>
          <wp:inline distT="0" distB="0" distL="114300" distR="114300">
            <wp:extent cx="5657215" cy="1920240"/>
            <wp:effectExtent l="0" t="0" r="635" b="38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2"/>
                    <a:stretch>
                      <a:fillRect/>
                    </a:stretch>
                  </pic:blipFill>
                  <pic:spPr>
                    <a:xfrm>
                      <a:off x="0" y="0"/>
                      <a:ext cx="5657215" cy="1920240"/>
                    </a:xfrm>
                    <a:prstGeom prst="rect">
                      <a:avLst/>
                    </a:prstGeom>
                    <a:noFill/>
                    <a:ln>
                      <a:noFill/>
                    </a:ln>
                  </pic:spPr>
                </pic:pic>
              </a:graphicData>
            </a:graphic>
          </wp:inline>
        </w:drawing>
      </w:r>
    </w:p>
    <w:p w14:paraId="34235934">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图中的标注说明如下：</w:t>
      </w:r>
    </w:p>
    <w:p w14:paraId="614D0FC9">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CF：系统电源</w:t>
      </w:r>
    </w:p>
    <w:p w14:paraId="1F3A2233">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BK1：主断路器</w:t>
      </w:r>
    </w:p>
    <w:p w14:paraId="6D139230">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HK1：晶闸管开关</w:t>
      </w:r>
    </w:p>
    <w:p w14:paraId="17A5CBE5">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CK1：操作断路器</w:t>
      </w:r>
    </w:p>
    <w:p w14:paraId="6B1A1C0D">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LH1：电流互感器</w:t>
      </w:r>
    </w:p>
    <w:p w14:paraId="57D71EE5">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L1 R1：限流电抗及限流电阻</w:t>
      </w:r>
    </w:p>
    <w:p w14:paraId="5CE09522">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SP：试品</w:t>
      </w:r>
    </w:p>
    <w:p w14:paraId="5D5D0D53">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TRV1：瞬态恢复电压调节装置</w:t>
      </w:r>
    </w:p>
    <w:p w14:paraId="722D1F86">
      <w:pPr>
        <w:widowControl/>
        <w:tabs>
          <w:tab w:val="center" w:pos="4201"/>
          <w:tab w:val="right" w:leader="dot" w:pos="9298"/>
        </w:tabs>
        <w:autoSpaceDE w:val="0"/>
        <w:autoSpaceDN w:val="0"/>
        <w:ind w:firstLine="360" w:firstLineChars="200"/>
        <w:jc w:val="both"/>
        <w:rPr>
          <w:rFonts w:hint="eastAsia" w:ascii="宋体" w:hAnsi="宋体" w:cs="宋体"/>
          <w:kern w:val="0"/>
          <w:sz w:val="18"/>
          <w:szCs w:val="18"/>
          <w:lang w:val="en-US" w:eastAsia="zh-CN"/>
        </w:rPr>
      </w:pPr>
      <w:r>
        <w:rPr>
          <w:rFonts w:hint="eastAsia" w:ascii="宋体" w:hAnsi="宋体" w:cs="宋体"/>
          <w:kern w:val="0"/>
          <w:sz w:val="18"/>
          <w:szCs w:val="18"/>
          <w:lang w:val="en-US" w:eastAsia="zh-CN"/>
        </w:rPr>
        <w:t>FY1：分压器</w:t>
      </w:r>
    </w:p>
    <w:p w14:paraId="107EA5BB">
      <w:pPr>
        <w:widowControl/>
        <w:tabs>
          <w:tab w:val="center" w:pos="4201"/>
          <w:tab w:val="right" w:leader="dot" w:pos="9298"/>
        </w:tabs>
        <w:autoSpaceDE w:val="0"/>
        <w:autoSpaceDN w:val="0"/>
        <w:ind w:firstLine="360" w:firstLineChars="200"/>
        <w:jc w:val="both"/>
        <w:rPr>
          <w:rFonts w:hint="default" w:ascii="宋体" w:hAnsi="宋体" w:cs="宋体"/>
          <w:kern w:val="0"/>
          <w:sz w:val="18"/>
          <w:szCs w:val="18"/>
          <w:lang w:val="en-US" w:eastAsia="zh-CN"/>
        </w:rPr>
      </w:pPr>
      <w:r>
        <w:rPr>
          <w:rFonts w:hint="eastAsia" w:ascii="宋体" w:hAnsi="宋体" w:cs="宋体"/>
          <w:kern w:val="0"/>
          <w:sz w:val="18"/>
          <w:szCs w:val="18"/>
          <w:lang w:val="en-US" w:eastAsia="zh-CN"/>
        </w:rPr>
        <w:t>YH1：电压互感器</w:t>
      </w:r>
    </w:p>
    <w:p w14:paraId="2C5C0D14">
      <w:pPr>
        <w:widowControl/>
        <w:tabs>
          <w:tab w:val="center" w:pos="4201"/>
          <w:tab w:val="right" w:leader="dot" w:pos="9298"/>
        </w:tabs>
        <w:autoSpaceDE w:val="0"/>
        <w:autoSpaceDN w:val="0"/>
        <w:jc w:val="center"/>
        <w:rPr>
          <w:rFonts w:hint="eastAsia" w:ascii="宋体" w:hAnsi="宋体" w:cs="宋体"/>
          <w:kern w:val="0"/>
          <w:szCs w:val="21"/>
          <w:lang w:eastAsia="zh-CN"/>
        </w:rPr>
      </w:pPr>
    </w:p>
    <w:p w14:paraId="2EF2C0E3">
      <w:pPr>
        <w:widowControl/>
        <w:tabs>
          <w:tab w:val="center" w:pos="4201"/>
          <w:tab w:val="right" w:leader="dot" w:pos="9298"/>
        </w:tabs>
        <w:autoSpaceDE w:val="0"/>
        <w:autoSpaceDN w:val="0"/>
        <w:jc w:val="center"/>
        <w:rPr>
          <w:rFonts w:hint="eastAsia" w:ascii="宋体" w:hAnsi="宋体" w:cs="宋体"/>
          <w:kern w:val="0"/>
          <w:szCs w:val="21"/>
          <w:lang w:val="en-US" w:eastAsia="zh-CN"/>
        </w:rPr>
      </w:pPr>
      <w:r>
        <w:rPr>
          <w:rFonts w:hint="eastAsia" w:ascii="宋体" w:hAnsi="宋体" w:cs="宋体"/>
          <w:kern w:val="0"/>
          <w:szCs w:val="21"/>
          <w:lang w:eastAsia="zh-CN"/>
        </w:rPr>
        <w:t>图</w:t>
      </w:r>
      <w:r>
        <w:rPr>
          <w:rFonts w:hint="eastAsia" w:ascii="宋体" w:hAnsi="宋体" w:cs="宋体"/>
          <w:kern w:val="0"/>
          <w:szCs w:val="21"/>
          <w:lang w:val="en-US" w:eastAsia="zh-CN"/>
        </w:rPr>
        <w:t>2系统典型拓扑图</w:t>
      </w:r>
    </w:p>
    <w:p w14:paraId="3E7857B1">
      <w:pPr>
        <w:widowControl/>
        <w:tabs>
          <w:tab w:val="center" w:pos="4201"/>
          <w:tab w:val="right" w:leader="dot" w:pos="9298"/>
        </w:tabs>
        <w:autoSpaceDE w:val="0"/>
        <w:autoSpaceDN w:val="0"/>
        <w:jc w:val="center"/>
        <w:rPr>
          <w:rFonts w:hint="eastAsia" w:ascii="宋体" w:hAnsi="宋体" w:cs="宋体"/>
          <w:kern w:val="0"/>
          <w:szCs w:val="21"/>
          <w:lang w:val="en-US" w:eastAsia="zh-CN"/>
        </w:rPr>
      </w:pPr>
    </w:p>
    <w:p w14:paraId="3A8103A7">
      <w:pPr>
        <w:pStyle w:val="46"/>
        <w:spacing w:before="0" w:beforeLines="0" w:after="0" w:afterLines="0"/>
        <w:ind w:left="0"/>
        <w:rPr>
          <w:rFonts w:hint="eastAsia" w:cs="Times New Roman" w:asciiTheme="minorEastAsia" w:hAnsiTheme="minorEastAsia" w:eastAsiaTheme="minorEastAsia"/>
          <w:kern w:val="0"/>
          <w:szCs w:val="21"/>
          <w:lang w:val="zh-TW" w:eastAsia="zh-TW" w:bidi="zh-TW"/>
        </w:rPr>
      </w:pPr>
      <w:r>
        <w:rPr>
          <w:rFonts w:hint="eastAsia" w:cs="Times New Roman" w:asciiTheme="minorEastAsia" w:hAnsiTheme="minorEastAsia" w:eastAsiaTheme="minorEastAsia"/>
          <w:kern w:val="0"/>
          <w:szCs w:val="21"/>
          <w:lang w:val="zh-TW" w:eastAsia="zh-TW" w:bidi="zh-TW"/>
        </w:rPr>
        <w:t>每个阀组均有由RC阻尼回路及DC均压电阻构成的均压回路，用于确保晶闸管间电压分布均匀，同时限制关断时的换相过冲。</w:t>
      </w:r>
    </w:p>
    <w:p w14:paraId="6219C468">
      <w:pPr>
        <w:widowControl/>
        <w:numPr>
          <w:ilvl w:val="1"/>
          <w:numId w:val="2"/>
        </w:numPr>
        <w:adjustRightInd w:val="0"/>
        <w:snapToGrid w:val="0"/>
        <w:spacing w:before="156" w:beforeLines="50" w:after="156" w:afterLines="50"/>
        <w:ind w:left="0"/>
        <w:outlineLvl w:val="2"/>
        <w:rPr>
          <w:rFonts w:ascii="黑体" w:eastAsia="黑体"/>
          <w:kern w:val="0"/>
          <w:szCs w:val="20"/>
        </w:rPr>
      </w:pPr>
      <w:bookmarkStart w:id="36" w:name="_Toc123130242"/>
      <w:r>
        <w:rPr>
          <w:rFonts w:hint="eastAsia" w:ascii="黑体" w:eastAsia="黑体"/>
          <w:kern w:val="0"/>
          <w:szCs w:val="20"/>
        </w:rPr>
        <w:t>控制及保护</w:t>
      </w:r>
      <w:bookmarkEnd w:id="36"/>
      <w:r>
        <w:rPr>
          <w:rFonts w:hint="eastAsia" w:ascii="黑体" w:eastAsia="黑体"/>
          <w:kern w:val="0"/>
          <w:szCs w:val="20"/>
        </w:rPr>
        <w:t xml:space="preserve"> </w:t>
      </w:r>
    </w:p>
    <w:p w14:paraId="3B4928D6">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某一相的控制装置接收到开锁命令后，立即在下一周期指定的合闸角度</w:t>
      </w:r>
      <w:r>
        <w:rPr>
          <w:rFonts w:hint="eastAsia" w:asciiTheme="minorEastAsia" w:hAnsiTheme="minorEastAsia" w:eastAsiaTheme="minorEastAsia"/>
          <w:lang w:val="zh-TW" w:bidi="zh-TW"/>
        </w:rPr>
        <w:t>触</w:t>
      </w:r>
      <w:r>
        <w:rPr>
          <w:rFonts w:hint="eastAsia" w:asciiTheme="minorEastAsia" w:hAnsiTheme="minorEastAsia" w:eastAsiaTheme="minorEastAsia"/>
          <w:lang w:val="zh-TW" w:eastAsia="zh-TW" w:bidi="zh-TW"/>
        </w:rPr>
        <w:t>发脉冲使该相的晶闸管完全导通，之后晶闸管应一直处于完全导通状态，直至接收到分闸命令或控制装置失电等情况；每相阀组的晶闸管应在相应的触发信号下完全导通，不允许出现导通不同步及部分导通的情况。</w:t>
      </w:r>
      <w:r>
        <w:rPr>
          <w:rFonts w:hint="eastAsia" w:asciiTheme="minorEastAsia" w:hAnsiTheme="minorEastAsia" w:eastAsiaTheme="minorEastAsia"/>
          <w:lang w:bidi="zh-TW"/>
        </w:rPr>
        <w:t>通过电流导通第一个波形判断，同一相的晶闸管最早导通与最迟导通的晶闸管导通时间相差不大于0.05ms。选相误差不大于3</w:t>
      </w:r>
      <w:r>
        <w:rPr>
          <w:rFonts w:hint="eastAsia" w:asciiTheme="minorEastAsia" w:hAnsiTheme="minorEastAsia" w:eastAsiaTheme="minorEastAsia"/>
          <w:vertAlign w:val="superscript"/>
          <w:lang w:bidi="zh-TW"/>
        </w:rPr>
        <w:t>0</w:t>
      </w:r>
      <w:r>
        <w:rPr>
          <w:rFonts w:hint="eastAsia" w:asciiTheme="minorEastAsia" w:hAnsiTheme="minorEastAsia" w:eastAsiaTheme="minorEastAsia"/>
          <w:lang w:bidi="zh-TW"/>
        </w:rPr>
        <w:t>电角度。</w:t>
      </w:r>
    </w:p>
    <w:p w14:paraId="31F5467E">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合闸开关可不具备分断能力，三个阀组既可同时选相合闸，再由高压交流断路器分闸；也可以单相或两相阀组合闸，其余阀组不动作。</w:t>
      </w:r>
    </w:p>
    <w:p w14:paraId="663C07F1">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控制装置应有反映合闸开关合分及故障状态的I</w:t>
      </w:r>
      <w:r>
        <w:rPr>
          <w:rFonts w:eastAsia="PMingLiU" w:asciiTheme="minorEastAsia" w:hAnsiTheme="minorEastAsia"/>
          <w:lang w:val="zh-TW" w:eastAsia="zh-TW" w:bidi="zh-TW"/>
        </w:rPr>
        <w:t>/</w:t>
      </w:r>
      <w:r>
        <w:rPr>
          <w:rFonts w:hint="eastAsia" w:asciiTheme="minorEastAsia" w:hAnsiTheme="minorEastAsia" w:eastAsiaTheme="minorEastAsia"/>
          <w:lang w:val="zh-TW" w:eastAsia="zh-TW" w:bidi="zh-TW"/>
        </w:rPr>
        <w:t>O辅助接点，每个状态至少各有2个常开和2个常闭触点。</w:t>
      </w:r>
    </w:p>
    <w:p w14:paraId="3701B64B">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考虑到操作的频繁性，合闸开关应有完善的过电压吸收和保护回路，防止晶闸管等电子器件受损。特别应充分考虑到容性电流时</w:t>
      </w:r>
      <w:r>
        <w:rPr>
          <w:rFonts w:hint="eastAsia" w:asciiTheme="minorEastAsia" w:hAnsiTheme="minorEastAsia" w:eastAsiaTheme="minorEastAsia"/>
          <w:lang w:val="zh-TW" w:bidi="zh-TW"/>
        </w:rPr>
        <w:t>关合</w:t>
      </w:r>
      <w:r>
        <w:rPr>
          <w:rFonts w:hint="eastAsia" w:asciiTheme="minorEastAsia" w:hAnsiTheme="minorEastAsia" w:eastAsiaTheme="minorEastAsia"/>
          <w:lang w:val="zh-TW" w:eastAsia="zh-TW" w:bidi="zh-TW"/>
        </w:rPr>
        <w:t>产生的高频关合涌流对合闸开关的影响，并采取合适的保护措施。</w:t>
      </w:r>
    </w:p>
    <w:p w14:paraId="7CA80059">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为了防止带电流分断合闸开关，控制装置应设有与系统主断路器的联锁回路，只有当主断路器分闸后，才给晶闸管发出分闸命令。</w:t>
      </w:r>
    </w:p>
    <w:p w14:paraId="09149770">
      <w:pPr>
        <w:pStyle w:val="46"/>
        <w:spacing w:before="0" w:beforeLines="0" w:after="0" w:afterLines="0"/>
        <w:ind w:left="0"/>
        <w:rPr>
          <w:rFonts w:asciiTheme="minorEastAsia" w:hAnsiTheme="minorEastAsia" w:eastAsiaTheme="minorEastAsia"/>
          <w:lang w:val="zh-TW" w:eastAsia="zh-TW" w:bidi="zh-TW"/>
        </w:rPr>
      </w:pPr>
      <w:r>
        <w:rPr>
          <w:rFonts w:hint="eastAsia" w:asciiTheme="minorEastAsia" w:hAnsiTheme="minorEastAsia" w:eastAsiaTheme="minorEastAsia"/>
          <w:lang w:val="zh-TW" w:eastAsia="zh-TW" w:bidi="zh-TW"/>
        </w:rPr>
        <w:t>装置在各种工作方式时，都应有可靠的内部绝缘，包括元件在内不被各类电压损坏。并有可靠的内部短路保护及过电压保护。一旦发生故障，不允许造成桥臂上多数元件损坏，不允许对变压器造成损坏。</w:t>
      </w:r>
    </w:p>
    <w:p w14:paraId="36986633">
      <w:pPr>
        <w:widowControl/>
        <w:numPr>
          <w:ilvl w:val="255"/>
          <w:numId w:val="0"/>
        </w:numPr>
        <w:adjustRightInd w:val="0"/>
        <w:snapToGrid w:val="0"/>
        <w:spacing w:before="156" w:beforeLines="50" w:after="156" w:afterLines="50"/>
        <w:outlineLvl w:val="2"/>
        <w:rPr>
          <w:rFonts w:ascii="黑体" w:eastAsia="黑体"/>
          <w:kern w:val="0"/>
          <w:szCs w:val="20"/>
        </w:rPr>
      </w:pPr>
      <w:bookmarkStart w:id="37" w:name="_Toc123130243"/>
      <w:r>
        <w:rPr>
          <w:rFonts w:hint="eastAsia" w:ascii="黑体" w:eastAsia="黑体"/>
          <w:kern w:val="0"/>
          <w:szCs w:val="20"/>
        </w:rPr>
        <w:t>4.4工作制度</w:t>
      </w:r>
      <w:bookmarkEnd w:id="37"/>
    </w:p>
    <w:p w14:paraId="69F1270E">
      <w:pPr>
        <w:spacing w:line="360" w:lineRule="auto"/>
        <w:ind w:firstLine="464" w:firstLineChars="221"/>
        <w:jc w:val="left"/>
        <w:rPr>
          <w:rFonts w:ascii="宋体" w:hAnsi="宋体" w:cs="宋体"/>
          <w:color w:val="000000"/>
          <w:szCs w:val="21"/>
          <w:lang w:val="zh-TW" w:bidi="zh-TW"/>
        </w:rPr>
      </w:pPr>
      <w:r>
        <w:rPr>
          <w:rFonts w:hint="eastAsia" w:ascii="宋体" w:hAnsi="宋体" w:cs="宋体"/>
          <w:color w:val="000000"/>
          <w:szCs w:val="21"/>
          <w:lang w:val="zh-TW" w:eastAsia="zh-CN" w:bidi="zh-TW"/>
        </w:rPr>
        <w:t>由于半导体开关通流产生热效应的持续积累，</w:t>
      </w:r>
      <w:r>
        <w:rPr>
          <w:rFonts w:hint="eastAsia" w:ascii="宋体" w:hAnsi="宋体" w:cs="宋体"/>
          <w:color w:val="000000"/>
          <w:szCs w:val="21"/>
          <w:lang w:val="zh-TW" w:bidi="zh-TW"/>
        </w:rPr>
        <w:t>半导体</w:t>
      </w:r>
      <w:r>
        <w:rPr>
          <w:rFonts w:ascii="宋体" w:hAnsi="宋体" w:cs="宋体"/>
          <w:color w:val="000000"/>
          <w:szCs w:val="21"/>
          <w:lang w:val="zh-TW" w:bidi="zh-TW"/>
        </w:rPr>
        <w:t>开关的工作</w:t>
      </w:r>
      <w:r>
        <w:rPr>
          <w:rFonts w:hint="eastAsia" w:ascii="宋体" w:hAnsi="宋体" w:cs="宋体"/>
          <w:color w:val="000000"/>
          <w:szCs w:val="21"/>
          <w:lang w:val="zh-TW" w:bidi="zh-TW"/>
        </w:rPr>
        <w:t>制度</w:t>
      </w:r>
      <w:r>
        <w:rPr>
          <w:rFonts w:ascii="宋体" w:hAnsi="宋体" w:cs="宋体"/>
          <w:color w:val="000000"/>
          <w:szCs w:val="21"/>
          <w:lang w:val="zh-TW" w:bidi="zh-TW"/>
        </w:rPr>
        <w:t>如下：</w:t>
      </w:r>
    </w:p>
    <w:p w14:paraId="5EF8DE26">
      <w:pPr>
        <w:pStyle w:val="46"/>
        <w:numPr>
          <w:ilvl w:val="2"/>
          <w:numId w:val="18"/>
        </w:numPr>
        <w:spacing w:before="0" w:beforeLines="0" w:after="0" w:afterLines="0"/>
        <w:ind w:left="840" w:leftChars="200" w:hanging="420" w:hangingChars="200"/>
        <w:outlineLvl w:val="9"/>
        <w:rPr>
          <w:rFonts w:cs="宋体" w:asciiTheme="minorEastAsia" w:hAnsiTheme="minorEastAsia" w:eastAsiaTheme="minorEastAsia"/>
          <w:color w:val="000000"/>
          <w:lang w:val="zh-TW" w:eastAsia="zh-TW" w:bidi="zh-TW"/>
        </w:rPr>
      </w:pPr>
      <w:r>
        <w:rPr>
          <w:rFonts w:hint="eastAsia" w:cs="宋体" w:asciiTheme="minorEastAsia" w:hAnsiTheme="minorEastAsia" w:eastAsiaTheme="minorEastAsia"/>
          <w:color w:val="000000"/>
          <w:lang w:val="zh-TW" w:eastAsia="zh-TW" w:bidi="zh-TW"/>
        </w:rPr>
        <w:t>通电I</w:t>
      </w:r>
      <w:r>
        <w:rPr>
          <w:rFonts w:hint="eastAsia" w:cs="宋体" w:asciiTheme="minorEastAsia" w:hAnsiTheme="minorEastAsia" w:eastAsiaTheme="minorEastAsia"/>
          <w:color w:val="000000"/>
          <w:lang w:bidi="zh-TW"/>
        </w:rPr>
        <w:t>k</w:t>
      </w:r>
      <w:r>
        <w:rPr>
          <w:rFonts w:asciiTheme="minorEastAsia" w:hAnsiTheme="minorEastAsia" w:eastAsiaTheme="minorEastAsia"/>
          <w:lang w:val="zh-TW" w:eastAsia="zh-TW" w:bidi="zh-TW"/>
        </w:rPr>
        <w:t>、</w:t>
      </w:r>
      <w:r>
        <w:rPr>
          <w:rFonts w:hint="eastAsia" w:cs="宋体" w:asciiTheme="minorEastAsia" w:hAnsiTheme="minorEastAsia" w:eastAsiaTheme="minorEastAsia"/>
          <w:color w:val="000000"/>
          <w:lang w:val="zh-TW" w:eastAsia="zh-TW" w:bidi="zh-TW"/>
        </w:rPr>
        <w:t>0.2s(或80%I</w:t>
      </w:r>
      <w:r>
        <w:rPr>
          <w:rFonts w:hint="eastAsia" w:cs="宋体" w:asciiTheme="minorEastAsia" w:hAnsiTheme="minorEastAsia" w:eastAsiaTheme="minorEastAsia"/>
          <w:color w:val="000000"/>
          <w:lang w:bidi="zh-TW"/>
        </w:rPr>
        <w:t>k</w:t>
      </w:r>
      <w:r>
        <w:rPr>
          <w:rFonts w:hint="eastAsia" w:cs="宋体" w:asciiTheme="minorEastAsia" w:hAnsiTheme="minorEastAsia" w:eastAsiaTheme="minorEastAsia"/>
          <w:color w:val="000000"/>
          <w:lang w:val="zh-TW" w:eastAsia="zh-TW" w:bidi="zh-TW"/>
        </w:rPr>
        <w:t>、1.1s)，停30min为一个循环，每天3个循环</w:t>
      </w:r>
      <w:r>
        <w:rPr>
          <w:rFonts w:hint="eastAsia" w:cs="宋体" w:asciiTheme="minorEastAsia" w:hAnsiTheme="minorEastAsia" w:eastAsiaTheme="minorEastAsia"/>
          <w:color w:val="000000"/>
          <w:lang w:val="zh-TW" w:bidi="zh-TW"/>
        </w:rPr>
        <w:t>；</w:t>
      </w:r>
    </w:p>
    <w:p w14:paraId="6A2BF658">
      <w:pPr>
        <w:pStyle w:val="46"/>
        <w:numPr>
          <w:ilvl w:val="2"/>
          <w:numId w:val="18"/>
        </w:numPr>
        <w:spacing w:before="0" w:beforeLines="0" w:after="0" w:afterLines="0"/>
        <w:ind w:left="840" w:leftChars="200" w:hanging="420" w:hangingChars="200"/>
        <w:outlineLvl w:val="9"/>
        <w:rPr>
          <w:rFonts w:cs="宋体" w:asciiTheme="minorEastAsia" w:hAnsiTheme="minorEastAsia" w:eastAsiaTheme="minorEastAsia"/>
          <w:color w:val="000000"/>
          <w:lang w:val="zh-TW" w:eastAsia="zh-TW" w:bidi="zh-TW"/>
        </w:rPr>
      </w:pPr>
      <w:r>
        <w:rPr>
          <w:rFonts w:hint="eastAsia" w:cs="宋体" w:asciiTheme="minorEastAsia" w:hAnsiTheme="minorEastAsia" w:eastAsiaTheme="minorEastAsia"/>
          <w:color w:val="000000"/>
          <w:lang w:val="zh-TW" w:eastAsia="zh-TW" w:bidi="zh-TW"/>
        </w:rPr>
        <w:t>作为选相合闸开关时：通电80%Ip、0.6s，停3min，重复8次为一个循环。停30min再进行下一个循环，每天8小时</w:t>
      </w:r>
      <w:r>
        <w:rPr>
          <w:rFonts w:hint="eastAsia" w:cs="宋体" w:asciiTheme="minorEastAsia" w:hAnsiTheme="minorEastAsia" w:eastAsiaTheme="minorEastAsia"/>
          <w:color w:val="000000"/>
          <w:lang w:val="zh-TW" w:bidi="zh-TW"/>
        </w:rPr>
        <w:t>；</w:t>
      </w:r>
    </w:p>
    <w:p w14:paraId="6121D060">
      <w:pPr>
        <w:pStyle w:val="46"/>
        <w:numPr>
          <w:ilvl w:val="2"/>
          <w:numId w:val="18"/>
        </w:numPr>
        <w:spacing w:before="0" w:beforeLines="0" w:after="0" w:afterLines="0"/>
        <w:ind w:left="840" w:leftChars="200" w:hanging="420" w:hangingChars="200"/>
        <w:outlineLvl w:val="9"/>
        <w:rPr>
          <w:rFonts w:cs="宋体" w:asciiTheme="minorEastAsia" w:hAnsiTheme="minorEastAsia" w:eastAsiaTheme="minorEastAsia"/>
          <w:color w:val="000000"/>
          <w:lang w:val="zh-TW" w:eastAsia="zh-TW" w:bidi="zh-TW"/>
        </w:rPr>
      </w:pPr>
      <w:r>
        <w:rPr>
          <w:rFonts w:hint="eastAsia" w:cs="宋体" w:asciiTheme="minorEastAsia" w:hAnsiTheme="minorEastAsia" w:eastAsiaTheme="minorEastAsia"/>
          <w:color w:val="000000"/>
          <w:lang w:val="zh-TW" w:eastAsia="zh-TW" w:bidi="zh-TW"/>
        </w:rPr>
        <w:t>额定电流下可长期通电。</w:t>
      </w:r>
    </w:p>
    <w:p w14:paraId="6606314D">
      <w:pPr>
        <w:pStyle w:val="45"/>
        <w:numPr>
          <w:ilvl w:val="0"/>
          <w:numId w:val="2"/>
        </w:numPr>
        <w:spacing w:before="312" w:after="312"/>
      </w:pPr>
      <w:bookmarkStart w:id="38" w:name="_Toc123130244"/>
      <w:r>
        <w:rPr>
          <w:rFonts w:hint="eastAsia"/>
        </w:rPr>
        <w:t>正常使用条件</w:t>
      </w:r>
      <w:bookmarkEnd w:id="32"/>
      <w:bookmarkEnd w:id="38"/>
    </w:p>
    <w:p w14:paraId="0D604CF3">
      <w:pPr>
        <w:widowControl/>
        <w:numPr>
          <w:ilvl w:val="1"/>
          <w:numId w:val="2"/>
        </w:numPr>
        <w:adjustRightInd w:val="0"/>
        <w:snapToGrid w:val="0"/>
        <w:spacing w:before="156" w:beforeLines="50" w:after="156" w:afterLines="50"/>
        <w:ind w:left="0"/>
        <w:outlineLvl w:val="2"/>
        <w:rPr>
          <w:rFonts w:ascii="黑体" w:eastAsia="黑体"/>
          <w:kern w:val="0"/>
          <w:szCs w:val="20"/>
        </w:rPr>
      </w:pPr>
      <w:bookmarkStart w:id="39" w:name="_Toc123130245"/>
      <w:r>
        <w:rPr>
          <w:rFonts w:hint="eastAsia" w:ascii="黑体" w:eastAsia="黑体"/>
          <w:kern w:val="0"/>
          <w:szCs w:val="20"/>
        </w:rPr>
        <w:t>环境条件</w:t>
      </w:r>
      <w:bookmarkEnd w:id="39"/>
    </w:p>
    <w:p w14:paraId="722D1A27">
      <w:pPr>
        <w:ind w:firstLine="420" w:firstLineChars="200"/>
        <w:jc w:val="left"/>
        <w:rPr>
          <w:rFonts w:ascii="宋体" w:hAnsi="宋体" w:cs="宋体"/>
          <w:color w:val="000000"/>
          <w:szCs w:val="21"/>
          <w:lang w:val="zh-TW" w:bidi="zh-TW"/>
        </w:rPr>
      </w:pPr>
      <w:r>
        <w:rPr>
          <w:rFonts w:hint="eastAsia" w:ascii="宋体" w:hAnsi="宋体" w:cs="宋体"/>
          <w:color w:val="000000"/>
          <w:szCs w:val="21"/>
          <w:lang w:val="zh-TW" w:eastAsia="zh-TW" w:bidi="zh-TW"/>
        </w:rPr>
        <w:t>海拔高度：≤1000m</w:t>
      </w:r>
      <w:r>
        <w:rPr>
          <w:rFonts w:ascii="宋体" w:hAnsi="宋体" w:cs="宋体"/>
          <w:color w:val="000000"/>
          <w:szCs w:val="21"/>
          <w:lang w:val="zh-TW" w:bidi="zh-TW"/>
        </w:rPr>
        <w:t>；</w:t>
      </w:r>
      <w:r>
        <w:rPr>
          <w:rFonts w:hint="eastAsia" w:ascii="宋体" w:hAnsi="宋体" w:cs="宋体"/>
          <w:color w:val="000000"/>
          <w:szCs w:val="21"/>
          <w:lang w:val="zh-TW" w:bidi="zh-TW"/>
        </w:rPr>
        <w:t>如果在海拔超过1000 m的地点运行，应降额使用设备容量；</w:t>
      </w:r>
    </w:p>
    <w:p w14:paraId="62C8A110">
      <w:pPr>
        <w:ind w:firstLine="420" w:firstLineChars="200"/>
        <w:jc w:val="left"/>
        <w:rPr>
          <w:rFonts w:ascii="宋体" w:hAnsi="宋体" w:cs="宋体"/>
          <w:color w:val="000000"/>
          <w:szCs w:val="21"/>
          <w:lang w:val="zh-TW" w:bidi="zh-TW"/>
        </w:rPr>
      </w:pPr>
      <w:r>
        <w:rPr>
          <w:rFonts w:hint="eastAsia" w:ascii="宋体" w:hAnsi="宋体" w:cs="宋体"/>
          <w:color w:val="000000"/>
          <w:szCs w:val="21"/>
          <w:lang w:val="zh-TW" w:eastAsia="zh-TW" w:bidi="zh-TW"/>
        </w:rPr>
        <w:t>环境温度：－5 ℃～＋50 ℃</w:t>
      </w:r>
      <w:r>
        <w:rPr>
          <w:rFonts w:hint="eastAsia" w:ascii="宋体" w:hAnsi="宋体" w:cs="宋体"/>
          <w:color w:val="000000"/>
          <w:szCs w:val="21"/>
          <w:lang w:val="zh-TW" w:bidi="zh-TW"/>
        </w:rPr>
        <w:t>；</w:t>
      </w:r>
    </w:p>
    <w:p w14:paraId="4A5D38F2">
      <w:pPr>
        <w:ind w:firstLine="420" w:firstLineChars="200"/>
        <w:jc w:val="left"/>
        <w:rPr>
          <w:rFonts w:ascii="宋体" w:hAnsi="宋体" w:cs="宋体"/>
          <w:color w:val="000000"/>
          <w:szCs w:val="21"/>
          <w:lang w:val="zh-TW" w:bidi="zh-TW"/>
        </w:rPr>
      </w:pPr>
      <w:r>
        <w:rPr>
          <w:rFonts w:hint="eastAsia" w:ascii="宋体" w:hAnsi="宋体" w:cs="宋体"/>
          <w:color w:val="000000"/>
          <w:szCs w:val="21"/>
          <w:lang w:val="zh-TW" w:eastAsia="zh-TW" w:bidi="zh-TW"/>
        </w:rPr>
        <w:t>最大日温差：≤25 ℃</w:t>
      </w:r>
      <w:r>
        <w:rPr>
          <w:rFonts w:hint="eastAsia" w:ascii="宋体" w:hAnsi="宋体" w:cs="宋体"/>
          <w:color w:val="000000"/>
          <w:szCs w:val="21"/>
          <w:lang w:val="zh-TW" w:bidi="zh-TW"/>
        </w:rPr>
        <w:t>；</w:t>
      </w:r>
    </w:p>
    <w:p w14:paraId="47693100">
      <w:pPr>
        <w:ind w:firstLine="420" w:firstLineChars="200"/>
        <w:jc w:val="left"/>
        <w:rPr>
          <w:rFonts w:ascii="宋体" w:hAnsi="宋体" w:eastAsia="PMingLiU" w:cs="宋体"/>
          <w:color w:val="000000"/>
          <w:szCs w:val="21"/>
          <w:lang w:val="zh-TW" w:bidi="zh-TW"/>
        </w:rPr>
      </w:pPr>
      <w:r>
        <w:rPr>
          <w:rFonts w:hint="eastAsia" w:ascii="宋体" w:hAnsi="宋体" w:cs="宋体"/>
          <w:color w:val="000000"/>
          <w:szCs w:val="21"/>
          <w:lang w:val="zh-TW" w:bidi="zh-TW"/>
        </w:rPr>
        <w:t>室外</w:t>
      </w:r>
      <w:r>
        <w:rPr>
          <w:rFonts w:hint="eastAsia" w:ascii="宋体" w:hAnsi="宋体" w:cs="宋体"/>
          <w:color w:val="000000"/>
          <w:szCs w:val="21"/>
          <w:lang w:val="zh-TW" w:eastAsia="zh-TW" w:bidi="zh-TW"/>
        </w:rPr>
        <w:t>空气相对湿度：≤95</w:t>
      </w:r>
      <w:r>
        <w:rPr>
          <w:rFonts w:hint="eastAsia" w:ascii="宋体" w:hAnsi="宋体" w:cs="宋体"/>
          <w:color w:val="000000"/>
          <w:szCs w:val="21"/>
          <w:lang w:val="zh-TW" w:bidi="zh-TW"/>
        </w:rPr>
        <w:t>%</w:t>
      </w:r>
      <w:r>
        <w:rPr>
          <w:rFonts w:hint="eastAsia" w:ascii="宋体" w:hAnsi="宋体" w:cs="宋体"/>
          <w:color w:val="000000"/>
          <w:szCs w:val="21"/>
          <w:lang w:val="zh-TW" w:eastAsia="zh-TW" w:bidi="zh-TW"/>
        </w:rPr>
        <w:t>，考虑产生</w:t>
      </w:r>
      <w:r>
        <w:rPr>
          <w:rFonts w:hint="eastAsia" w:ascii="宋体" w:hAnsi="宋体" w:cs="宋体" w:eastAsiaTheme="minorEastAsia"/>
          <w:color w:val="000000"/>
          <w:szCs w:val="21"/>
          <w:lang w:val="zh-TW" w:bidi="zh-TW"/>
        </w:rPr>
        <w:t>露水、凝露、雾、雨、雪或积霜等的</w:t>
      </w:r>
      <w:r>
        <w:rPr>
          <w:rFonts w:hint="eastAsia" w:ascii="宋体" w:hAnsi="宋体" w:cs="宋体"/>
          <w:color w:val="000000"/>
          <w:szCs w:val="21"/>
          <w:lang w:val="zh-TW" w:eastAsia="zh-TW" w:bidi="zh-TW"/>
        </w:rPr>
        <w:t>可能</w:t>
      </w:r>
      <w:r>
        <w:rPr>
          <w:rFonts w:hint="eastAsia" w:ascii="宋体" w:hAnsi="宋体" w:cs="宋体"/>
          <w:color w:val="000000"/>
          <w:szCs w:val="21"/>
          <w:lang w:val="zh-TW" w:bidi="zh-TW"/>
        </w:rPr>
        <w:t>；</w:t>
      </w:r>
    </w:p>
    <w:p w14:paraId="628331C3">
      <w:pPr>
        <w:ind w:firstLine="420" w:firstLineChars="200"/>
        <w:jc w:val="left"/>
        <w:rPr>
          <w:rFonts w:ascii="宋体" w:hAnsi="宋体" w:cs="宋体"/>
          <w:color w:val="000000"/>
          <w:szCs w:val="21"/>
          <w:lang w:val="zh-TW" w:bidi="zh-TW"/>
        </w:rPr>
      </w:pPr>
      <w:r>
        <w:rPr>
          <w:rFonts w:hint="eastAsia" w:ascii="宋体" w:hAnsi="宋体" w:cs="宋体" w:eastAsiaTheme="minorEastAsia"/>
          <w:color w:val="000000"/>
          <w:szCs w:val="21"/>
          <w:lang w:val="zh-TW" w:bidi="zh-TW"/>
        </w:rPr>
        <w:t>室内</w:t>
      </w:r>
      <w:r>
        <w:rPr>
          <w:rFonts w:ascii="宋体" w:hAnsi="宋体" w:cs="宋体" w:eastAsiaTheme="minorEastAsia"/>
          <w:color w:val="000000"/>
          <w:szCs w:val="21"/>
          <w:lang w:val="zh-TW" w:bidi="zh-TW"/>
        </w:rPr>
        <w:t>空气相对湿度：</w:t>
      </w:r>
      <w:r>
        <w:rPr>
          <w:rFonts w:hint="eastAsia" w:ascii="宋体" w:hAnsi="宋体" w:cs="宋体"/>
          <w:color w:val="000000"/>
          <w:szCs w:val="21"/>
          <w:lang w:val="zh-TW" w:eastAsia="zh-TW" w:bidi="zh-TW"/>
        </w:rPr>
        <w:t>≥15</w:t>
      </w:r>
      <w:r>
        <w:rPr>
          <w:rFonts w:ascii="宋体" w:hAnsi="宋体" w:cs="宋体"/>
          <w:color w:val="000000"/>
          <w:szCs w:val="21"/>
          <w:lang w:val="zh-TW" w:eastAsia="zh-TW" w:bidi="zh-TW"/>
        </w:rPr>
        <w:t>%</w:t>
      </w:r>
      <w:r>
        <w:rPr>
          <w:rFonts w:hint="eastAsia" w:ascii="宋体" w:hAnsi="宋体" w:cs="宋体"/>
          <w:color w:val="000000"/>
          <w:szCs w:val="21"/>
          <w:lang w:val="zh-TW" w:eastAsia="zh-TW" w:bidi="zh-TW"/>
        </w:rPr>
        <w:t>，</w:t>
      </w:r>
      <w:r>
        <w:rPr>
          <w:rFonts w:hint="eastAsia" w:ascii="宋体" w:hAnsi="宋体" w:cs="宋体"/>
          <w:color w:val="000000"/>
          <w:szCs w:val="21"/>
          <w:lang w:val="zh-TW" w:bidi="zh-TW"/>
        </w:rPr>
        <w:t>无</w:t>
      </w:r>
      <w:r>
        <w:rPr>
          <w:rFonts w:hint="eastAsia" w:ascii="宋体" w:hAnsi="宋体" w:cs="宋体"/>
          <w:color w:val="000000"/>
          <w:szCs w:val="21"/>
          <w:lang w:val="zh-TW" w:eastAsia="zh-TW" w:bidi="zh-TW"/>
        </w:rPr>
        <w:t>凝露</w:t>
      </w:r>
      <w:r>
        <w:rPr>
          <w:rFonts w:hint="eastAsia" w:ascii="宋体" w:hAnsi="宋体" w:cs="宋体"/>
          <w:color w:val="000000"/>
          <w:szCs w:val="21"/>
          <w:lang w:val="zh-TW" w:bidi="zh-TW"/>
        </w:rPr>
        <w:t>；</w:t>
      </w:r>
    </w:p>
    <w:p w14:paraId="09F38E4F">
      <w:pPr>
        <w:ind w:firstLine="420" w:firstLineChars="200"/>
        <w:jc w:val="left"/>
        <w:rPr>
          <w:rFonts w:ascii="宋体" w:hAnsi="宋体" w:cs="宋体" w:eastAsiaTheme="minorEastAsia"/>
          <w:color w:val="000000"/>
          <w:szCs w:val="21"/>
          <w:lang w:val="zh-TW" w:bidi="zh-TW"/>
        </w:rPr>
      </w:pPr>
      <w:r>
        <w:rPr>
          <w:rFonts w:hint="eastAsia" w:ascii="宋体" w:hAnsi="宋体" w:cs="宋体" w:eastAsiaTheme="minorEastAsia"/>
          <w:color w:val="000000"/>
          <w:szCs w:val="21"/>
          <w:lang w:val="zh-TW" w:bidi="zh-TW"/>
        </w:rPr>
        <w:t>周围空气没有显著地被灰尘、烟雾、腐蚀性气体、蒸汽或盐雾污染。污秽等级不超过C级污秽；</w:t>
      </w:r>
    </w:p>
    <w:p w14:paraId="42798BF6">
      <w:pPr>
        <w:ind w:firstLine="420" w:firstLineChars="200"/>
        <w:jc w:val="left"/>
        <w:rPr>
          <w:rFonts w:ascii="宋体" w:hAnsi="宋体" w:cs="宋体"/>
          <w:color w:val="000000"/>
          <w:szCs w:val="21"/>
          <w:lang w:val="zh-TW" w:bidi="zh-TW"/>
        </w:rPr>
      </w:pPr>
      <w:r>
        <w:rPr>
          <w:rFonts w:hint="eastAsia" w:ascii="宋体" w:hAnsi="宋体" w:cs="宋体"/>
          <w:color w:val="000000"/>
          <w:szCs w:val="21"/>
          <w:lang w:val="zh-TW" w:eastAsia="zh-TW" w:bidi="zh-TW"/>
        </w:rPr>
        <w:t>耐地震能力: ≤8级</w:t>
      </w:r>
      <w:r>
        <w:rPr>
          <w:rFonts w:hint="eastAsia" w:ascii="宋体" w:hAnsi="宋体" w:cs="宋体"/>
          <w:color w:val="000000"/>
          <w:szCs w:val="21"/>
          <w:lang w:val="zh-TW" w:bidi="zh-TW"/>
        </w:rPr>
        <w:t>；</w:t>
      </w:r>
    </w:p>
    <w:p w14:paraId="37970DBC">
      <w:pPr>
        <w:ind w:firstLine="420" w:firstLineChars="200"/>
        <w:jc w:val="left"/>
        <w:rPr>
          <w:rFonts w:ascii="宋体" w:hAnsi="宋体" w:eastAsia="PMingLiU" w:cs="宋体"/>
          <w:color w:val="000000"/>
          <w:szCs w:val="21"/>
          <w:lang w:val="zh-TW" w:eastAsia="zh-TW" w:bidi="zh-TW"/>
        </w:rPr>
      </w:pPr>
      <w:r>
        <w:rPr>
          <w:rFonts w:hint="eastAsia" w:ascii="宋体" w:hAnsi="宋体" w:cs="宋体"/>
          <w:color w:val="000000"/>
          <w:szCs w:val="21"/>
          <w:lang w:val="zh-TW" w:eastAsia="zh-TW" w:bidi="zh-TW"/>
        </w:rPr>
        <w:t>地面水平加速度：≤3.0 m/s2，地面垂直加速度≤1.5 m/s2。</w:t>
      </w:r>
    </w:p>
    <w:p w14:paraId="2D0A6D83">
      <w:pPr>
        <w:widowControl/>
        <w:numPr>
          <w:ilvl w:val="1"/>
          <w:numId w:val="2"/>
        </w:numPr>
        <w:adjustRightInd w:val="0"/>
        <w:snapToGrid w:val="0"/>
        <w:spacing w:before="156" w:beforeLines="50" w:after="156" w:afterLines="50"/>
        <w:ind w:left="0"/>
        <w:outlineLvl w:val="2"/>
        <w:rPr>
          <w:rFonts w:ascii="黑体" w:eastAsia="黑体"/>
          <w:kern w:val="0"/>
          <w:szCs w:val="20"/>
        </w:rPr>
      </w:pPr>
      <w:bookmarkStart w:id="40" w:name="_Toc123130246"/>
      <w:r>
        <w:rPr>
          <w:rFonts w:hint="eastAsia" w:ascii="黑体" w:eastAsia="黑体"/>
          <w:kern w:val="0"/>
          <w:szCs w:val="20"/>
        </w:rPr>
        <w:t>标准</w:t>
      </w:r>
      <w:r>
        <w:rPr>
          <w:rFonts w:ascii="黑体" w:eastAsia="黑体"/>
          <w:kern w:val="0"/>
          <w:szCs w:val="20"/>
        </w:rPr>
        <w:t>参考大气条件</w:t>
      </w:r>
      <w:bookmarkEnd w:id="40"/>
    </w:p>
    <w:p w14:paraId="74DCF031">
      <w:pPr>
        <w:ind w:firstLine="420" w:firstLineChars="200"/>
        <w:jc w:val="left"/>
        <w:rPr>
          <w:rFonts w:cs="宋体" w:asciiTheme="minorEastAsia" w:hAnsiTheme="minorEastAsia" w:eastAsiaTheme="minorEastAsia"/>
          <w:color w:val="000000"/>
          <w:szCs w:val="21"/>
          <w:lang w:val="zh-TW" w:bidi="zh-TW"/>
        </w:rPr>
      </w:pPr>
      <w:r>
        <w:rPr>
          <w:rFonts w:hint="eastAsia" w:cs="宋体" w:asciiTheme="minorEastAsia" w:hAnsiTheme="minorEastAsia" w:eastAsiaTheme="minorEastAsia"/>
          <w:color w:val="000000"/>
          <w:szCs w:val="21"/>
          <w:lang w:val="zh-TW" w:bidi="zh-TW"/>
        </w:rPr>
        <w:t>标准化</w:t>
      </w:r>
      <w:r>
        <w:rPr>
          <w:rFonts w:cs="宋体" w:asciiTheme="minorEastAsia" w:hAnsiTheme="minorEastAsia" w:eastAsiaTheme="minorEastAsia"/>
          <w:color w:val="000000"/>
          <w:szCs w:val="21"/>
          <w:lang w:val="zh-TW" w:bidi="zh-TW"/>
        </w:rPr>
        <w:t>的耐受电压使用的标准参考大气条件为：</w:t>
      </w:r>
    </w:p>
    <w:p w14:paraId="5436B9C2">
      <w:pPr>
        <w:ind w:firstLine="420" w:firstLineChars="200"/>
        <w:jc w:val="left"/>
        <w:rPr>
          <w:rFonts w:cs="宋体" w:asciiTheme="minorEastAsia" w:hAnsiTheme="minorEastAsia" w:eastAsiaTheme="minorEastAsia"/>
          <w:color w:val="000000"/>
          <w:szCs w:val="21"/>
          <w:lang w:val="zh-TW" w:eastAsia="zh-TW" w:bidi="zh-TW"/>
        </w:rPr>
      </w:pPr>
      <w:r>
        <w:rPr>
          <w:rFonts w:hint="eastAsia" w:cs="宋体" w:asciiTheme="minorEastAsia" w:hAnsiTheme="minorEastAsia" w:eastAsiaTheme="minorEastAsia"/>
          <w:color w:val="000000"/>
          <w:szCs w:val="21"/>
          <w:lang w:val="zh-TW" w:bidi="zh-TW"/>
        </w:rPr>
        <w:t>温度</w:t>
      </w:r>
      <w:r>
        <w:rPr>
          <w:rFonts w:cs="宋体" w:asciiTheme="minorEastAsia" w:hAnsiTheme="minorEastAsia" w:eastAsiaTheme="minorEastAsia"/>
          <w:color w:val="000000"/>
          <w:szCs w:val="21"/>
          <w:lang w:val="zh-TW" w:bidi="zh-TW"/>
        </w:rPr>
        <w:t>：t</w:t>
      </w:r>
      <w:r>
        <w:rPr>
          <w:rFonts w:cs="宋体" w:asciiTheme="minorEastAsia" w:hAnsiTheme="minorEastAsia" w:eastAsiaTheme="minorEastAsia"/>
          <w:color w:val="000000"/>
          <w:szCs w:val="21"/>
          <w:vertAlign w:val="subscript"/>
          <w:lang w:val="zh-TW" w:eastAsia="zh-TW" w:bidi="zh-TW"/>
        </w:rPr>
        <w:t>0</w:t>
      </w:r>
      <w:r>
        <w:rPr>
          <w:rFonts w:cs="宋体" w:asciiTheme="minorEastAsia" w:hAnsiTheme="minorEastAsia" w:eastAsiaTheme="minorEastAsia"/>
          <w:color w:val="000000"/>
          <w:szCs w:val="21"/>
          <w:lang w:val="zh-TW" w:eastAsia="zh-TW" w:bidi="zh-TW"/>
        </w:rPr>
        <w:t>=20℃；</w:t>
      </w:r>
    </w:p>
    <w:p w14:paraId="7096221F">
      <w:pPr>
        <w:ind w:firstLine="420" w:firstLineChars="200"/>
        <w:jc w:val="left"/>
        <w:rPr>
          <w:rFonts w:cs="宋体" w:asciiTheme="minorEastAsia" w:hAnsiTheme="minorEastAsia" w:eastAsiaTheme="minorEastAsia"/>
          <w:color w:val="000000"/>
          <w:szCs w:val="21"/>
          <w:lang w:val="zh-TW" w:bidi="zh-TW"/>
        </w:rPr>
      </w:pPr>
      <w:r>
        <w:rPr>
          <w:rFonts w:hint="eastAsia" w:cs="宋体" w:asciiTheme="minorEastAsia" w:hAnsiTheme="minorEastAsia" w:eastAsiaTheme="minorEastAsia"/>
          <w:color w:val="000000"/>
          <w:szCs w:val="21"/>
          <w:lang w:val="zh-TW" w:bidi="zh-TW"/>
        </w:rPr>
        <w:t>压力</w:t>
      </w:r>
      <w:r>
        <w:rPr>
          <w:rFonts w:cs="宋体" w:asciiTheme="minorEastAsia" w:hAnsiTheme="minorEastAsia" w:eastAsiaTheme="minorEastAsia"/>
          <w:color w:val="000000"/>
          <w:szCs w:val="21"/>
          <w:lang w:val="zh-TW" w:bidi="zh-TW"/>
        </w:rPr>
        <w:t>：</w:t>
      </w:r>
      <w:r>
        <w:rPr>
          <w:rFonts w:hint="eastAsia" w:cs="宋体" w:asciiTheme="minorEastAsia" w:hAnsiTheme="minorEastAsia" w:eastAsiaTheme="minorEastAsia"/>
          <w:color w:val="000000"/>
          <w:szCs w:val="21"/>
          <w:lang w:val="zh-TW" w:bidi="zh-TW"/>
        </w:rPr>
        <w:t>p</w:t>
      </w:r>
      <w:r>
        <w:rPr>
          <w:rFonts w:cs="宋体" w:asciiTheme="minorEastAsia" w:hAnsiTheme="minorEastAsia" w:eastAsiaTheme="minorEastAsia"/>
          <w:color w:val="000000"/>
          <w:szCs w:val="21"/>
          <w:vertAlign w:val="subscript"/>
          <w:lang w:val="zh-TW" w:eastAsia="zh-TW" w:bidi="zh-TW"/>
        </w:rPr>
        <w:t>0</w:t>
      </w:r>
      <w:r>
        <w:rPr>
          <w:rFonts w:eastAsia="PMingLiU" w:cs="宋体" w:asciiTheme="minorEastAsia" w:hAnsiTheme="minorEastAsia"/>
          <w:color w:val="000000"/>
          <w:szCs w:val="21"/>
          <w:lang w:val="zh-TW" w:eastAsia="zh-TW" w:bidi="zh-TW"/>
        </w:rPr>
        <w:t>=</w:t>
      </w:r>
      <w:r>
        <w:rPr>
          <w:rFonts w:cs="宋体" w:asciiTheme="minorEastAsia" w:hAnsiTheme="minorEastAsia" w:eastAsiaTheme="minorEastAsia"/>
          <w:color w:val="000000"/>
          <w:szCs w:val="21"/>
          <w:lang w:val="zh-TW" w:eastAsia="zh-TW" w:bidi="zh-TW"/>
        </w:rPr>
        <w:t>101.3 kPa（</w:t>
      </w:r>
      <w:r>
        <w:rPr>
          <w:rFonts w:hint="eastAsia" w:cs="宋体" w:asciiTheme="minorEastAsia" w:hAnsiTheme="minorEastAsia" w:eastAsiaTheme="minorEastAsia"/>
          <w:color w:val="000000"/>
          <w:szCs w:val="21"/>
          <w:lang w:val="zh-TW" w:bidi="zh-TW"/>
        </w:rPr>
        <w:t xml:space="preserve">1013 </w:t>
      </w:r>
      <w:r>
        <w:rPr>
          <w:rFonts w:cs="宋体" w:asciiTheme="minorEastAsia" w:hAnsiTheme="minorEastAsia" w:eastAsiaTheme="minorEastAsia"/>
          <w:color w:val="000000"/>
          <w:szCs w:val="21"/>
          <w:lang w:val="zh-TW" w:eastAsia="zh-TW" w:bidi="zh-TW"/>
        </w:rPr>
        <w:t>mbar）</w:t>
      </w:r>
      <w:r>
        <w:rPr>
          <w:rFonts w:hint="eastAsia" w:cs="宋体" w:asciiTheme="minorEastAsia" w:hAnsiTheme="minorEastAsia" w:eastAsiaTheme="minorEastAsia"/>
          <w:color w:val="000000"/>
          <w:szCs w:val="21"/>
          <w:lang w:val="zh-TW" w:bidi="zh-TW"/>
        </w:rPr>
        <w:t>；</w:t>
      </w:r>
    </w:p>
    <w:p w14:paraId="63C8AB17">
      <w:pPr>
        <w:ind w:firstLine="420" w:firstLineChars="200"/>
        <w:jc w:val="left"/>
        <w:rPr>
          <w:rFonts w:cs="宋体" w:asciiTheme="minorEastAsia" w:hAnsiTheme="minorEastAsia" w:eastAsiaTheme="minorEastAsia"/>
          <w:color w:val="000000"/>
          <w:szCs w:val="21"/>
          <w:lang w:val="zh-TW" w:bidi="zh-TW"/>
        </w:rPr>
      </w:pPr>
      <w:r>
        <w:rPr>
          <w:rFonts w:hint="eastAsia" w:cs="宋体" w:asciiTheme="minorEastAsia" w:hAnsiTheme="minorEastAsia" w:eastAsiaTheme="minorEastAsia"/>
          <w:color w:val="000000"/>
          <w:szCs w:val="21"/>
          <w:lang w:val="zh-TW" w:bidi="zh-TW"/>
        </w:rPr>
        <w:t>绝对</w:t>
      </w:r>
      <w:r>
        <w:rPr>
          <w:rFonts w:cs="宋体" w:asciiTheme="minorEastAsia" w:hAnsiTheme="minorEastAsia" w:eastAsiaTheme="minorEastAsia"/>
          <w:color w:val="000000"/>
          <w:szCs w:val="21"/>
          <w:lang w:val="zh-TW" w:bidi="zh-TW"/>
        </w:rPr>
        <w:t>湿度</w:t>
      </w:r>
      <w:r>
        <w:rPr>
          <w:rFonts w:hint="eastAsia" w:cs="宋体" w:asciiTheme="minorEastAsia" w:hAnsiTheme="minorEastAsia" w:eastAsiaTheme="minorEastAsia"/>
          <w:color w:val="000000"/>
          <w:szCs w:val="21"/>
          <w:lang w:val="zh-TW" w:bidi="zh-TW"/>
        </w:rPr>
        <w:t>：</w:t>
      </w:r>
      <w:r>
        <w:rPr>
          <w:rFonts w:cs="宋体" w:asciiTheme="minorEastAsia" w:hAnsiTheme="minorEastAsia" w:eastAsiaTheme="minorEastAsia"/>
          <w:color w:val="000000"/>
          <w:szCs w:val="21"/>
          <w:lang w:val="zh-TW" w:bidi="zh-TW"/>
        </w:rPr>
        <w:t>h</w:t>
      </w:r>
      <w:r>
        <w:rPr>
          <w:rFonts w:cs="宋体" w:asciiTheme="minorEastAsia" w:hAnsiTheme="minorEastAsia" w:eastAsiaTheme="minorEastAsia"/>
          <w:color w:val="000000"/>
          <w:szCs w:val="21"/>
          <w:vertAlign w:val="subscript"/>
          <w:lang w:val="zh-TW" w:eastAsia="zh-TW" w:bidi="zh-TW"/>
        </w:rPr>
        <w:t>0</w:t>
      </w:r>
      <w:r>
        <w:rPr>
          <w:rFonts w:cs="宋体" w:asciiTheme="minorEastAsia" w:hAnsiTheme="minorEastAsia" w:eastAsiaTheme="minorEastAsia"/>
          <w:color w:val="000000"/>
          <w:szCs w:val="21"/>
          <w:lang w:val="zh-TW" w:eastAsia="zh-TW" w:bidi="zh-TW"/>
        </w:rPr>
        <w:t>=11 g/m</w:t>
      </w:r>
      <w:r>
        <w:rPr>
          <w:rFonts w:cs="宋体" w:asciiTheme="minorEastAsia" w:hAnsiTheme="minorEastAsia" w:eastAsiaTheme="minorEastAsia"/>
          <w:color w:val="000000"/>
          <w:szCs w:val="21"/>
          <w:vertAlign w:val="superscript"/>
          <w:lang w:val="zh-TW" w:eastAsia="zh-TW" w:bidi="zh-TW"/>
        </w:rPr>
        <w:t>3</w:t>
      </w:r>
      <w:r>
        <w:rPr>
          <w:rFonts w:eastAsia="PMingLiU" w:cs="宋体" w:asciiTheme="minorEastAsia" w:hAnsiTheme="minorEastAsia"/>
          <w:color w:val="000000"/>
          <w:szCs w:val="21"/>
          <w:vertAlign w:val="superscript"/>
          <w:lang w:val="zh-TW" w:eastAsia="zh-TW" w:bidi="zh-TW"/>
        </w:rPr>
        <w:t xml:space="preserve"> </w:t>
      </w:r>
      <w:r>
        <w:rPr>
          <w:rFonts w:hint="eastAsia" w:cs="宋体" w:asciiTheme="minorEastAsia" w:hAnsiTheme="minorEastAsia" w:eastAsiaTheme="minorEastAsia"/>
          <w:color w:val="000000"/>
          <w:szCs w:val="21"/>
          <w:lang w:val="zh-TW" w:bidi="zh-TW"/>
        </w:rPr>
        <w:t>。</w:t>
      </w:r>
    </w:p>
    <w:p w14:paraId="2955A3C7">
      <w:pPr>
        <w:pStyle w:val="45"/>
        <w:numPr>
          <w:ilvl w:val="1"/>
          <w:numId w:val="2"/>
        </w:numPr>
        <w:adjustRightInd w:val="0"/>
        <w:snapToGrid w:val="0"/>
        <w:spacing w:before="156" w:beforeLines="50" w:after="156" w:afterLines="50"/>
        <w:ind w:left="0"/>
        <w:outlineLvl w:val="2"/>
      </w:pPr>
      <w:bookmarkStart w:id="41" w:name="_Toc123130247"/>
      <w:r>
        <w:rPr>
          <w:rFonts w:hint="eastAsia"/>
        </w:rPr>
        <w:t>运行条件</w:t>
      </w:r>
      <w:bookmarkEnd w:id="41"/>
    </w:p>
    <w:p w14:paraId="522924AB">
      <w:pPr>
        <w:pStyle w:val="46"/>
        <w:spacing w:before="156" w:after="156"/>
        <w:ind w:left="0"/>
      </w:pPr>
      <w:r>
        <w:rPr>
          <w:rFonts w:hint="eastAsia"/>
          <w:lang w:val="zh-TW" w:eastAsia="zh-TW" w:bidi="zh-TW"/>
        </w:rPr>
        <w:t>周围空气循环</w:t>
      </w:r>
    </w:p>
    <w:p w14:paraId="5C510A60">
      <w:pPr>
        <w:pStyle w:val="144"/>
        <w:spacing w:line="368" w:lineRule="exact"/>
        <w:ind w:firstLine="440"/>
        <w:rPr>
          <w:sz w:val="21"/>
          <w:szCs w:val="21"/>
        </w:rPr>
      </w:pPr>
      <w:r>
        <w:rPr>
          <w:rFonts w:hint="eastAsia"/>
          <w:color w:val="000000"/>
          <w:sz w:val="21"/>
          <w:szCs w:val="21"/>
        </w:rPr>
        <w:t>对于安装在室内的户内型设备</w:t>
      </w:r>
      <w:r>
        <w:rPr>
          <w:rFonts w:hint="eastAsia"/>
          <w:color w:val="000000"/>
          <w:sz w:val="21"/>
          <w:szCs w:val="21"/>
          <w:lang w:eastAsia="zh-CN"/>
        </w:rPr>
        <w:t>，</w:t>
      </w:r>
      <w:r>
        <w:rPr>
          <w:rFonts w:hint="eastAsia"/>
          <w:color w:val="000000"/>
          <w:sz w:val="21"/>
          <w:szCs w:val="21"/>
        </w:rPr>
        <w:t>冷却媒质 （室内空气量）应足够</w:t>
      </w:r>
      <w:r>
        <w:rPr>
          <w:rFonts w:hint="eastAsia"/>
          <w:color w:val="000000"/>
          <w:sz w:val="21"/>
          <w:szCs w:val="21"/>
          <w:lang w:eastAsia="zh-CN"/>
        </w:rPr>
        <w:t>，</w:t>
      </w:r>
      <w:r>
        <w:rPr>
          <w:rFonts w:hint="eastAsia"/>
          <w:color w:val="000000"/>
          <w:sz w:val="21"/>
          <w:szCs w:val="21"/>
        </w:rPr>
        <w:t>不应因设备运荷产车的热量使室内空气发生变化。否则</w:t>
      </w:r>
      <w:r>
        <w:rPr>
          <w:rFonts w:hint="eastAsia"/>
          <w:color w:val="000000"/>
          <w:sz w:val="21"/>
          <w:szCs w:val="21"/>
          <w:lang w:eastAsia="zh-CN"/>
        </w:rPr>
        <w:t>，</w:t>
      </w:r>
      <w:r>
        <w:rPr>
          <w:rFonts w:hint="eastAsia"/>
          <w:color w:val="000000"/>
          <w:sz w:val="21"/>
          <w:szCs w:val="21"/>
        </w:rPr>
        <w:t>应考虑在设备与外界空气之间配置热交换器。</w:t>
      </w:r>
    </w:p>
    <w:p w14:paraId="24D3B865">
      <w:pPr>
        <w:pStyle w:val="144"/>
        <w:spacing w:after="140" w:line="368" w:lineRule="exact"/>
        <w:ind w:firstLine="440"/>
        <w:rPr>
          <w:rFonts w:eastAsia="PMingLiU"/>
          <w:color w:val="000000"/>
          <w:sz w:val="21"/>
          <w:szCs w:val="21"/>
        </w:rPr>
      </w:pPr>
      <w:r>
        <w:rPr>
          <w:rFonts w:hint="eastAsia"/>
          <w:color w:val="000000"/>
          <w:sz w:val="21"/>
          <w:szCs w:val="21"/>
        </w:rPr>
        <w:t>对于安装在机箱或机柜内的组件</w:t>
      </w:r>
      <w:r>
        <w:rPr>
          <w:rFonts w:hint="eastAsia"/>
          <w:color w:val="000000"/>
          <w:sz w:val="21"/>
          <w:szCs w:val="21"/>
          <w:lang w:eastAsia="zh-CN"/>
        </w:rPr>
        <w:t>，</w:t>
      </w:r>
      <w:r>
        <w:rPr>
          <w:rFonts w:hint="eastAsia"/>
          <w:color w:val="000000"/>
          <w:sz w:val="21"/>
          <w:szCs w:val="21"/>
        </w:rPr>
        <w:t>其周围条件（机箱或机柜内的空气）应看做热转移媒质</w:t>
      </w:r>
      <w:r>
        <w:rPr>
          <w:rFonts w:hint="eastAsia"/>
          <w:color w:val="000000"/>
          <w:sz w:val="21"/>
          <w:szCs w:val="21"/>
          <w:lang w:eastAsia="zh-CN"/>
        </w:rPr>
        <w:t>，</w:t>
      </w:r>
      <w:r>
        <w:rPr>
          <w:rFonts w:hint="eastAsia"/>
          <w:color w:val="000000"/>
          <w:sz w:val="21"/>
          <w:szCs w:val="21"/>
        </w:rPr>
        <w:t>而非冷却媒质</w:t>
      </w:r>
      <w:r>
        <w:rPr>
          <w:rFonts w:hint="eastAsia"/>
          <w:color w:val="000000"/>
          <w:sz w:val="21"/>
          <w:szCs w:val="21"/>
          <w:lang w:eastAsia="zh-CN"/>
        </w:rPr>
        <w:t>，</w:t>
      </w:r>
      <w:r>
        <w:rPr>
          <w:rFonts w:hint="eastAsia"/>
          <w:color w:val="000000"/>
          <w:sz w:val="21"/>
          <w:szCs w:val="21"/>
        </w:rPr>
        <w:t>存在的箱壁热反射应予以考虑。因此</w:t>
      </w:r>
      <w:r>
        <w:rPr>
          <w:rFonts w:hint="eastAsia"/>
          <w:color w:val="000000"/>
          <w:sz w:val="21"/>
          <w:szCs w:val="21"/>
          <w:lang w:eastAsia="zh-CN"/>
        </w:rPr>
        <w:t>，</w:t>
      </w:r>
      <w:r>
        <w:rPr>
          <w:rFonts w:hint="eastAsia"/>
          <w:color w:val="000000"/>
          <w:sz w:val="21"/>
          <w:szCs w:val="21"/>
        </w:rPr>
        <w:t>对于这样的组件</w:t>
      </w:r>
      <w:r>
        <w:rPr>
          <w:rFonts w:hint="eastAsia"/>
          <w:color w:val="000000"/>
          <w:sz w:val="21"/>
          <w:szCs w:val="21"/>
          <w:lang w:eastAsia="zh-CN"/>
        </w:rPr>
        <w:t>应</w:t>
      </w:r>
      <w:r>
        <w:rPr>
          <w:rFonts w:hint="eastAsia"/>
          <w:color w:val="000000"/>
          <w:sz w:val="21"/>
          <w:szCs w:val="21"/>
        </w:rPr>
        <w:t>规定较高的周围空气温度</w:t>
      </w:r>
      <w:r>
        <w:rPr>
          <w:rFonts w:hint="eastAsia"/>
          <w:color w:val="000000"/>
          <w:sz w:val="21"/>
          <w:szCs w:val="21"/>
          <w:lang w:eastAsia="zh-CN"/>
        </w:rPr>
        <w:t>，</w:t>
      </w:r>
      <w:r>
        <w:rPr>
          <w:rFonts w:hint="eastAsia"/>
          <w:color w:val="000000"/>
          <w:sz w:val="21"/>
          <w:szCs w:val="21"/>
        </w:rPr>
        <w:t>其电气间隙距离应符合供应商的规范。</w:t>
      </w:r>
    </w:p>
    <w:p w14:paraId="31ADF140">
      <w:pPr>
        <w:pStyle w:val="46"/>
        <w:spacing w:before="156" w:after="156" w:line="368" w:lineRule="exact"/>
        <w:ind w:left="0"/>
        <w:rPr>
          <w:lang w:val="zh-TW" w:eastAsia="zh-TW" w:bidi="zh-TW"/>
        </w:rPr>
      </w:pPr>
      <w:r>
        <w:rPr>
          <w:rFonts w:hint="eastAsia"/>
          <w:color w:val="000000"/>
          <w:lang w:val="zh-TW" w:eastAsia="zh-TW" w:bidi="zh-TW"/>
        </w:rPr>
        <w:t>户内设备的运行</w:t>
      </w:r>
    </w:p>
    <w:p w14:paraId="76B063DE">
      <w:pPr>
        <w:pStyle w:val="144"/>
        <w:spacing w:after="300" w:line="368" w:lineRule="exact"/>
        <w:ind w:firstLine="420"/>
        <w:rPr>
          <w:sz w:val="21"/>
          <w:szCs w:val="21"/>
        </w:rPr>
      </w:pPr>
      <w:r>
        <w:rPr>
          <w:rFonts w:hint="eastAsia"/>
          <w:color w:val="000000"/>
          <w:sz w:val="21"/>
          <w:szCs w:val="21"/>
        </w:rPr>
        <w:t>根据不同情况</w:t>
      </w:r>
      <w:r>
        <w:rPr>
          <w:rFonts w:hint="eastAsia"/>
          <w:color w:val="000000"/>
          <w:sz w:val="21"/>
          <w:szCs w:val="21"/>
          <w:lang w:eastAsia="zh-CN"/>
        </w:rPr>
        <w:t>，</w:t>
      </w:r>
      <w:r>
        <w:rPr>
          <w:rFonts w:hint="eastAsia"/>
          <w:color w:val="000000"/>
          <w:sz w:val="21"/>
          <w:szCs w:val="21"/>
        </w:rPr>
        <w:t>户内设备运行（包括空载期）时</w:t>
      </w:r>
      <w:r>
        <w:rPr>
          <w:rFonts w:hint="eastAsia"/>
          <w:color w:val="000000"/>
          <w:sz w:val="21"/>
          <w:szCs w:val="21"/>
          <w:lang w:eastAsia="zh-CN"/>
        </w:rPr>
        <w:t>的</w:t>
      </w:r>
      <w:r>
        <w:rPr>
          <w:rFonts w:hint="eastAsia"/>
          <w:color w:val="000000"/>
          <w:sz w:val="21"/>
          <w:szCs w:val="21"/>
        </w:rPr>
        <w:t>温度规定见表</w:t>
      </w:r>
      <w:r>
        <w:rPr>
          <w:rFonts w:hint="eastAsia"/>
          <w:color w:val="000000"/>
          <w:sz w:val="21"/>
          <w:szCs w:val="21"/>
          <w:lang w:val="en-US" w:eastAsia="zh-CN"/>
        </w:rPr>
        <w:t>1</w:t>
      </w:r>
      <w:r>
        <w:rPr>
          <w:rFonts w:hint="eastAsia"/>
          <w:color w:val="000000"/>
          <w:sz w:val="21"/>
          <w:szCs w:val="21"/>
        </w:rPr>
        <w:t>。</w:t>
      </w:r>
    </w:p>
    <w:p w14:paraId="5152D5E5">
      <w:pPr>
        <w:pStyle w:val="144"/>
        <w:spacing w:line="360" w:lineRule="auto"/>
        <w:ind w:firstLine="0"/>
        <w:jc w:val="center"/>
        <w:rPr>
          <w:sz w:val="21"/>
          <w:szCs w:val="21"/>
        </w:rPr>
      </w:pPr>
      <w:r>
        <w:rPr>
          <w:rFonts w:hint="eastAsia"/>
          <w:bCs/>
          <w:color w:val="000000"/>
          <w:sz w:val="21"/>
          <w:szCs w:val="21"/>
        </w:rPr>
        <w:t>表</w:t>
      </w:r>
      <w:r>
        <w:rPr>
          <w:rFonts w:hint="eastAsia"/>
          <w:color w:val="000000"/>
          <w:sz w:val="21"/>
          <w:szCs w:val="21"/>
          <w:lang w:val="en-US" w:eastAsia="zh-CN"/>
        </w:rPr>
        <w:t>1</w:t>
      </w:r>
      <w:r>
        <w:rPr>
          <w:color w:val="000000"/>
          <w:sz w:val="21"/>
          <w:szCs w:val="21"/>
          <w:lang w:val="en-US" w:eastAsia="zh-CN"/>
        </w:rPr>
        <w:t xml:space="preserve"> </w:t>
      </w:r>
      <w:r>
        <w:rPr>
          <w:rFonts w:hint="eastAsia"/>
          <w:bCs/>
          <w:color w:val="000000"/>
          <w:sz w:val="21"/>
          <w:szCs w:val="21"/>
        </w:rPr>
        <w:t>户内设备冷却媒质的温度限值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73"/>
        <w:gridCol w:w="1891"/>
        <w:gridCol w:w="1985"/>
        <w:gridCol w:w="1984"/>
      </w:tblGrid>
      <w:tr w14:paraId="379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exact"/>
          <w:jc w:val="center"/>
        </w:trPr>
        <w:tc>
          <w:tcPr>
            <w:tcW w:w="2073" w:type="dxa"/>
            <w:shd w:val="clear" w:color="auto" w:fill="FFFFFF"/>
            <w:vAlign w:val="center"/>
          </w:tcPr>
          <w:p w14:paraId="78C4407F">
            <w:pPr>
              <w:pStyle w:val="151"/>
              <w:spacing w:line="240" w:lineRule="auto"/>
              <w:ind w:firstLine="0"/>
              <w:jc w:val="center"/>
              <w:rPr>
                <w:sz w:val="18"/>
                <w:szCs w:val="18"/>
              </w:rPr>
            </w:pPr>
            <w:r>
              <w:rPr>
                <w:rFonts w:hint="eastAsia"/>
                <w:color w:val="000000"/>
                <w:sz w:val="18"/>
                <w:szCs w:val="18"/>
              </w:rPr>
              <w:t>条件</w:t>
            </w:r>
          </w:p>
        </w:tc>
        <w:tc>
          <w:tcPr>
            <w:tcW w:w="1891" w:type="dxa"/>
            <w:shd w:val="clear" w:color="auto" w:fill="FFFFFF"/>
            <w:vAlign w:val="center"/>
          </w:tcPr>
          <w:p w14:paraId="40E35A1A">
            <w:pPr>
              <w:pStyle w:val="151"/>
              <w:spacing w:line="240" w:lineRule="auto"/>
              <w:ind w:firstLine="0"/>
              <w:jc w:val="center"/>
              <w:rPr>
                <w:sz w:val="18"/>
                <w:szCs w:val="18"/>
              </w:rPr>
            </w:pPr>
            <w:r>
              <w:rPr>
                <w:rFonts w:hint="eastAsia"/>
                <w:color w:val="000000"/>
                <w:sz w:val="18"/>
                <w:szCs w:val="18"/>
              </w:rPr>
              <w:t>冷却媒质</w:t>
            </w:r>
          </w:p>
        </w:tc>
        <w:tc>
          <w:tcPr>
            <w:tcW w:w="1985" w:type="dxa"/>
            <w:shd w:val="clear" w:color="auto" w:fill="FFFFFF"/>
            <w:vAlign w:val="center"/>
          </w:tcPr>
          <w:p w14:paraId="6D6F1389">
            <w:pPr>
              <w:pStyle w:val="151"/>
              <w:spacing w:after="120" w:line="240" w:lineRule="auto"/>
              <w:ind w:firstLine="0"/>
              <w:jc w:val="center"/>
              <w:rPr>
                <w:sz w:val="18"/>
                <w:szCs w:val="18"/>
              </w:rPr>
            </w:pPr>
            <w:r>
              <w:rPr>
                <w:rFonts w:hint="eastAsia"/>
                <w:color w:val="000000"/>
                <w:sz w:val="18"/>
                <w:szCs w:val="18"/>
              </w:rPr>
              <w:t>最低温度</w:t>
            </w:r>
            <w:r>
              <w:rPr>
                <w:rFonts w:hint="eastAsia"/>
                <w:color w:val="000000"/>
                <w:sz w:val="18"/>
                <w:szCs w:val="18"/>
                <w:lang w:eastAsia="zh-CN"/>
              </w:rPr>
              <w:t xml:space="preserve"> </w:t>
            </w:r>
            <w:r>
              <w:rPr>
                <w:rFonts w:hint="eastAsia"/>
                <w:color w:val="000000"/>
                <w:sz w:val="18"/>
                <w:szCs w:val="18"/>
                <w:lang w:val="en-US" w:eastAsia="en-US" w:bidi="en-US"/>
              </w:rPr>
              <w:t>℃</w:t>
            </w:r>
          </w:p>
        </w:tc>
        <w:tc>
          <w:tcPr>
            <w:tcW w:w="1984" w:type="dxa"/>
            <w:shd w:val="clear" w:color="auto" w:fill="FFFFFF"/>
            <w:vAlign w:val="center"/>
          </w:tcPr>
          <w:p w14:paraId="3B24C019">
            <w:pPr>
              <w:pStyle w:val="151"/>
              <w:spacing w:after="120" w:line="240" w:lineRule="auto"/>
              <w:ind w:firstLine="0"/>
              <w:jc w:val="center"/>
              <w:rPr>
                <w:sz w:val="18"/>
                <w:szCs w:val="18"/>
              </w:rPr>
            </w:pPr>
            <w:r>
              <w:rPr>
                <w:rFonts w:hint="eastAsia"/>
                <w:color w:val="000000"/>
                <w:sz w:val="18"/>
                <w:szCs w:val="18"/>
              </w:rPr>
              <w:t>最</w:t>
            </w:r>
            <w:r>
              <w:rPr>
                <w:rFonts w:hint="eastAsia"/>
                <w:color w:val="000000"/>
                <w:sz w:val="18"/>
                <w:szCs w:val="18"/>
                <w:lang w:eastAsia="zh-CN"/>
              </w:rPr>
              <w:t>高</w:t>
            </w:r>
            <w:r>
              <w:rPr>
                <w:rFonts w:hint="eastAsia"/>
                <w:color w:val="000000"/>
                <w:sz w:val="18"/>
                <w:szCs w:val="18"/>
              </w:rPr>
              <w:t>温度</w:t>
            </w:r>
            <w:r>
              <w:rPr>
                <w:rFonts w:hint="eastAsia" w:eastAsiaTheme="minorEastAsia"/>
                <w:sz w:val="18"/>
                <w:szCs w:val="18"/>
                <w:lang w:eastAsia="zh-CN"/>
              </w:rPr>
              <w:t xml:space="preserve"> </w:t>
            </w:r>
            <w:r>
              <w:rPr>
                <w:rFonts w:hint="eastAsia"/>
                <w:color w:val="000000"/>
                <w:sz w:val="18"/>
                <w:szCs w:val="18"/>
                <w:lang w:val="en-US" w:eastAsia="en-US" w:bidi="en-US"/>
              </w:rPr>
              <w:t>℃</w:t>
            </w:r>
          </w:p>
        </w:tc>
      </w:tr>
      <w:tr w14:paraId="12EE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2073" w:type="dxa"/>
            <w:vMerge w:val="restart"/>
            <w:shd w:val="clear" w:color="auto" w:fill="FFFFFF"/>
            <w:vAlign w:val="center"/>
          </w:tcPr>
          <w:p w14:paraId="1D4A7FE2">
            <w:pPr>
              <w:pStyle w:val="151"/>
              <w:spacing w:line="240" w:lineRule="auto"/>
              <w:ind w:firstLine="0"/>
              <w:jc w:val="center"/>
              <w:rPr>
                <w:sz w:val="18"/>
                <w:szCs w:val="18"/>
              </w:rPr>
            </w:pPr>
            <w:r>
              <w:rPr>
                <w:rFonts w:hint="eastAsia"/>
                <w:color w:val="000000"/>
                <w:sz w:val="18"/>
                <w:szCs w:val="18"/>
              </w:rPr>
              <w:t>短时极端温度</w:t>
            </w:r>
          </w:p>
        </w:tc>
        <w:tc>
          <w:tcPr>
            <w:tcW w:w="1891" w:type="dxa"/>
            <w:shd w:val="clear" w:color="auto" w:fill="FFFFFF"/>
            <w:vAlign w:val="center"/>
          </w:tcPr>
          <w:p w14:paraId="3B263647">
            <w:pPr>
              <w:pStyle w:val="151"/>
              <w:spacing w:line="240" w:lineRule="auto"/>
              <w:ind w:firstLine="0"/>
              <w:jc w:val="center"/>
              <w:rPr>
                <w:sz w:val="18"/>
                <w:szCs w:val="18"/>
              </w:rPr>
            </w:pPr>
            <w:r>
              <w:rPr>
                <w:rFonts w:hint="eastAsia"/>
                <w:color w:val="000000"/>
                <w:sz w:val="18"/>
                <w:szCs w:val="18"/>
              </w:rPr>
              <w:t>空</w:t>
            </w:r>
          </w:p>
        </w:tc>
        <w:tc>
          <w:tcPr>
            <w:tcW w:w="1985" w:type="dxa"/>
            <w:shd w:val="clear" w:color="auto" w:fill="FFFFFF"/>
            <w:vAlign w:val="center"/>
          </w:tcPr>
          <w:p w14:paraId="660E4554">
            <w:pPr>
              <w:pStyle w:val="151"/>
              <w:spacing w:line="240" w:lineRule="auto"/>
              <w:ind w:firstLine="0"/>
              <w:jc w:val="center"/>
              <w:rPr>
                <w:sz w:val="18"/>
                <w:szCs w:val="18"/>
                <w:lang w:eastAsia="zh-CN"/>
              </w:rPr>
            </w:pPr>
            <w:r>
              <w:rPr>
                <w:color w:val="000000"/>
                <w:sz w:val="18"/>
                <w:szCs w:val="18"/>
                <w:lang w:val="en-US" w:eastAsia="zh-CN" w:bidi="en-US"/>
              </w:rPr>
              <w:t>-5</w:t>
            </w:r>
          </w:p>
        </w:tc>
        <w:tc>
          <w:tcPr>
            <w:tcW w:w="1984" w:type="dxa"/>
            <w:shd w:val="clear" w:color="auto" w:fill="FFFFFF"/>
            <w:vAlign w:val="center"/>
          </w:tcPr>
          <w:p w14:paraId="57BBD0D2">
            <w:pPr>
              <w:pStyle w:val="151"/>
              <w:spacing w:line="240" w:lineRule="auto"/>
              <w:ind w:firstLine="0"/>
              <w:jc w:val="center"/>
              <w:rPr>
                <w:sz w:val="18"/>
                <w:szCs w:val="18"/>
                <w:lang w:val="en-US" w:eastAsia="zh-CN"/>
              </w:rPr>
            </w:pPr>
            <w:r>
              <w:rPr>
                <w:rFonts w:hint="eastAsia"/>
                <w:color w:val="000000"/>
                <w:sz w:val="18"/>
                <w:szCs w:val="18"/>
                <w:lang w:val="en-US" w:eastAsia="zh-CN" w:bidi="en-US"/>
              </w:rPr>
              <w:t>40</w:t>
            </w:r>
          </w:p>
        </w:tc>
      </w:tr>
      <w:tr w14:paraId="2D25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exact"/>
          <w:jc w:val="center"/>
        </w:trPr>
        <w:tc>
          <w:tcPr>
            <w:tcW w:w="2073" w:type="dxa"/>
            <w:vMerge w:val="continue"/>
            <w:shd w:val="clear" w:color="auto" w:fill="FFFFFF"/>
            <w:vAlign w:val="center"/>
          </w:tcPr>
          <w:p w14:paraId="682F9A55">
            <w:pPr>
              <w:pStyle w:val="151"/>
              <w:spacing w:line="240" w:lineRule="auto"/>
              <w:ind w:firstLine="0"/>
              <w:jc w:val="center"/>
              <w:rPr>
                <w:sz w:val="18"/>
                <w:szCs w:val="18"/>
              </w:rPr>
            </w:pPr>
          </w:p>
        </w:tc>
        <w:tc>
          <w:tcPr>
            <w:tcW w:w="1891" w:type="dxa"/>
            <w:shd w:val="clear" w:color="auto" w:fill="FFFFFF"/>
            <w:vAlign w:val="center"/>
          </w:tcPr>
          <w:p w14:paraId="089574C9">
            <w:pPr>
              <w:pStyle w:val="151"/>
              <w:spacing w:line="240" w:lineRule="auto"/>
              <w:ind w:firstLine="0"/>
              <w:jc w:val="center"/>
              <w:rPr>
                <w:sz w:val="18"/>
                <w:szCs w:val="18"/>
              </w:rPr>
            </w:pPr>
            <w:r>
              <w:rPr>
                <w:rFonts w:hint="eastAsia"/>
                <w:color w:val="000000"/>
                <w:sz w:val="18"/>
                <w:szCs w:val="18"/>
              </w:rPr>
              <w:t>水</w:t>
            </w:r>
          </w:p>
        </w:tc>
        <w:tc>
          <w:tcPr>
            <w:tcW w:w="1985" w:type="dxa"/>
            <w:shd w:val="clear" w:color="auto" w:fill="FFFFFF"/>
            <w:vAlign w:val="center"/>
          </w:tcPr>
          <w:p w14:paraId="56DA563C">
            <w:pPr>
              <w:pStyle w:val="151"/>
              <w:spacing w:line="240" w:lineRule="auto"/>
              <w:ind w:firstLine="0"/>
              <w:jc w:val="center"/>
              <w:rPr>
                <w:color w:val="000000"/>
                <w:sz w:val="18"/>
                <w:szCs w:val="18"/>
                <w:lang w:val="en-US" w:eastAsia="zh-CN" w:bidi="en-US"/>
              </w:rPr>
            </w:pPr>
            <w:r>
              <w:rPr>
                <w:rFonts w:hint="eastAsia"/>
                <w:color w:val="000000"/>
                <w:sz w:val="18"/>
                <w:szCs w:val="18"/>
                <w:lang w:val="en-US" w:eastAsia="zh-CN" w:bidi="en-US"/>
              </w:rPr>
              <w:t>-5</w:t>
            </w:r>
          </w:p>
        </w:tc>
        <w:tc>
          <w:tcPr>
            <w:tcW w:w="1984" w:type="dxa"/>
            <w:shd w:val="clear" w:color="auto" w:fill="FFFFFF"/>
            <w:vAlign w:val="center"/>
          </w:tcPr>
          <w:p w14:paraId="718F04D4">
            <w:pPr>
              <w:pStyle w:val="151"/>
              <w:spacing w:line="240" w:lineRule="auto"/>
              <w:ind w:firstLine="0"/>
              <w:jc w:val="center"/>
              <w:rPr>
                <w:color w:val="000000"/>
                <w:sz w:val="18"/>
                <w:szCs w:val="18"/>
                <w:lang w:val="en-US" w:eastAsia="zh-CN" w:bidi="en-US"/>
              </w:rPr>
            </w:pPr>
            <w:r>
              <w:rPr>
                <w:rFonts w:hint="eastAsia"/>
                <w:color w:val="000000"/>
                <w:sz w:val="18"/>
                <w:szCs w:val="18"/>
                <w:lang w:val="en-US" w:eastAsia="zh-CN" w:bidi="en-US"/>
              </w:rPr>
              <w:t>30</w:t>
            </w:r>
          </w:p>
        </w:tc>
      </w:tr>
      <w:tr w14:paraId="3AC7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2073" w:type="dxa"/>
            <w:vMerge w:val="continue"/>
            <w:shd w:val="clear" w:color="auto" w:fill="FFFFFF"/>
            <w:vAlign w:val="center"/>
          </w:tcPr>
          <w:p w14:paraId="19B337F9">
            <w:pPr>
              <w:jc w:val="center"/>
              <w:rPr>
                <w:rFonts w:ascii="宋体" w:hAnsi="宋体" w:cs="宋体"/>
                <w:sz w:val="18"/>
                <w:szCs w:val="18"/>
              </w:rPr>
            </w:pPr>
          </w:p>
        </w:tc>
        <w:tc>
          <w:tcPr>
            <w:tcW w:w="1891" w:type="dxa"/>
            <w:shd w:val="clear" w:color="auto" w:fill="FFFFFF"/>
            <w:vAlign w:val="center"/>
          </w:tcPr>
          <w:p w14:paraId="1D8E4DD0">
            <w:pPr>
              <w:pStyle w:val="151"/>
              <w:spacing w:line="240" w:lineRule="auto"/>
              <w:ind w:firstLine="0"/>
              <w:jc w:val="center"/>
              <w:rPr>
                <w:sz w:val="18"/>
                <w:szCs w:val="18"/>
                <w:lang w:eastAsia="zh-CN"/>
              </w:rPr>
            </w:pPr>
            <w:r>
              <w:rPr>
                <w:rFonts w:hint="eastAsia"/>
                <w:color w:val="000000"/>
                <w:sz w:val="18"/>
                <w:szCs w:val="18"/>
                <w:lang w:val="en-US" w:eastAsia="zh-CN" w:bidi="en-US"/>
              </w:rPr>
              <w:t>油</w:t>
            </w:r>
          </w:p>
        </w:tc>
        <w:tc>
          <w:tcPr>
            <w:tcW w:w="1985" w:type="dxa"/>
            <w:shd w:val="clear" w:color="auto" w:fill="FFFFFF"/>
            <w:vAlign w:val="center"/>
          </w:tcPr>
          <w:p w14:paraId="2861BF20">
            <w:pPr>
              <w:pStyle w:val="151"/>
              <w:spacing w:line="240" w:lineRule="auto"/>
              <w:ind w:firstLine="0"/>
              <w:jc w:val="center"/>
              <w:rPr>
                <w:sz w:val="18"/>
                <w:szCs w:val="18"/>
                <w:lang w:val="en-US"/>
              </w:rPr>
            </w:pPr>
            <w:r>
              <w:rPr>
                <w:rFonts w:hint="eastAsia"/>
                <w:color w:val="000000"/>
                <w:sz w:val="18"/>
                <w:szCs w:val="18"/>
                <w:lang w:val="en-US" w:eastAsia="zh-CN" w:bidi="zh-CN"/>
              </w:rPr>
              <w:t>-5</w:t>
            </w:r>
          </w:p>
        </w:tc>
        <w:tc>
          <w:tcPr>
            <w:tcW w:w="1984" w:type="dxa"/>
            <w:shd w:val="clear" w:color="auto" w:fill="FFFFFF"/>
            <w:vAlign w:val="center"/>
          </w:tcPr>
          <w:p w14:paraId="376A044C">
            <w:pPr>
              <w:pStyle w:val="151"/>
              <w:spacing w:line="240" w:lineRule="auto"/>
              <w:ind w:firstLine="0"/>
              <w:jc w:val="center"/>
              <w:rPr>
                <w:sz w:val="18"/>
                <w:szCs w:val="18"/>
                <w:lang w:val="en-US" w:eastAsia="zh-CN"/>
              </w:rPr>
            </w:pPr>
            <w:r>
              <w:rPr>
                <w:rFonts w:hint="eastAsia"/>
                <w:color w:val="000000"/>
                <w:sz w:val="18"/>
                <w:szCs w:val="18"/>
                <w:lang w:val="en-US" w:eastAsia="zh-CN" w:bidi="en-US"/>
              </w:rPr>
              <w:t>30</w:t>
            </w:r>
          </w:p>
        </w:tc>
      </w:tr>
      <w:tr w14:paraId="0761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2073" w:type="dxa"/>
            <w:shd w:val="clear" w:color="auto" w:fill="FFFFFF"/>
            <w:vAlign w:val="center"/>
          </w:tcPr>
          <w:p w14:paraId="5CBAD3A2">
            <w:pPr>
              <w:pStyle w:val="151"/>
              <w:spacing w:line="240" w:lineRule="auto"/>
              <w:ind w:firstLine="0"/>
              <w:jc w:val="center"/>
              <w:rPr>
                <w:sz w:val="18"/>
                <w:szCs w:val="18"/>
              </w:rPr>
            </w:pPr>
            <w:r>
              <w:rPr>
                <w:rFonts w:hint="eastAsia"/>
                <w:color w:val="000000"/>
                <w:sz w:val="18"/>
                <w:szCs w:val="18"/>
                <w:lang w:val="en-US" w:eastAsia="zh-CN" w:bidi="en-US"/>
              </w:rPr>
              <w:t>日</w:t>
            </w:r>
            <w:r>
              <w:rPr>
                <w:rFonts w:hint="eastAsia"/>
                <w:color w:val="000000"/>
                <w:sz w:val="18"/>
                <w:szCs w:val="18"/>
              </w:rPr>
              <w:t>平均温度</w:t>
            </w:r>
          </w:p>
        </w:tc>
        <w:tc>
          <w:tcPr>
            <w:tcW w:w="1891" w:type="dxa"/>
            <w:shd w:val="clear" w:color="auto" w:fill="FFFFFF"/>
            <w:vAlign w:val="center"/>
          </w:tcPr>
          <w:p w14:paraId="75D57EC6">
            <w:pPr>
              <w:pStyle w:val="151"/>
              <w:spacing w:line="240" w:lineRule="auto"/>
              <w:ind w:firstLine="0"/>
              <w:jc w:val="center"/>
              <w:rPr>
                <w:sz w:val="18"/>
                <w:szCs w:val="18"/>
              </w:rPr>
            </w:pPr>
            <w:r>
              <w:rPr>
                <w:rFonts w:hint="eastAsia"/>
                <w:color w:val="000000"/>
                <w:sz w:val="18"/>
                <w:szCs w:val="18"/>
              </w:rPr>
              <w:t>空气</w:t>
            </w:r>
          </w:p>
        </w:tc>
        <w:tc>
          <w:tcPr>
            <w:tcW w:w="1985" w:type="dxa"/>
            <w:shd w:val="clear" w:color="auto" w:fill="FFFFFF"/>
            <w:vAlign w:val="center"/>
          </w:tcPr>
          <w:p w14:paraId="23675583">
            <w:pPr>
              <w:pStyle w:val="151"/>
              <w:spacing w:line="240" w:lineRule="auto"/>
              <w:ind w:firstLine="0"/>
              <w:jc w:val="center"/>
              <w:rPr>
                <w:color w:val="000000"/>
                <w:sz w:val="18"/>
                <w:szCs w:val="18"/>
                <w:lang w:val="en-US" w:eastAsia="zh-CN" w:bidi="en-US"/>
              </w:rPr>
            </w:pPr>
          </w:p>
        </w:tc>
        <w:tc>
          <w:tcPr>
            <w:tcW w:w="1984" w:type="dxa"/>
            <w:shd w:val="clear" w:color="auto" w:fill="FFFFFF"/>
            <w:vAlign w:val="center"/>
          </w:tcPr>
          <w:p w14:paraId="05F68FB5">
            <w:pPr>
              <w:pStyle w:val="151"/>
              <w:spacing w:line="240" w:lineRule="auto"/>
              <w:ind w:firstLine="0"/>
              <w:jc w:val="center"/>
              <w:rPr>
                <w:color w:val="000000"/>
                <w:sz w:val="18"/>
                <w:szCs w:val="18"/>
                <w:lang w:val="en-US" w:eastAsia="zh-CN" w:bidi="en-US"/>
              </w:rPr>
            </w:pPr>
            <w:r>
              <w:rPr>
                <w:rFonts w:hint="eastAsia"/>
                <w:color w:val="000000"/>
                <w:sz w:val="18"/>
                <w:szCs w:val="18"/>
                <w:lang w:val="en-US" w:eastAsia="zh-CN" w:bidi="en-US"/>
              </w:rPr>
              <w:t>30</w:t>
            </w:r>
          </w:p>
        </w:tc>
      </w:tr>
      <w:tr w14:paraId="1CD1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4" w:hRule="exact"/>
          <w:jc w:val="center"/>
        </w:trPr>
        <w:tc>
          <w:tcPr>
            <w:tcW w:w="2073" w:type="dxa"/>
            <w:shd w:val="clear" w:color="auto" w:fill="FFFFFF"/>
            <w:vAlign w:val="center"/>
          </w:tcPr>
          <w:p w14:paraId="53C10E2D">
            <w:pPr>
              <w:pStyle w:val="151"/>
              <w:spacing w:line="240" w:lineRule="auto"/>
              <w:ind w:firstLine="0"/>
              <w:jc w:val="center"/>
              <w:rPr>
                <w:sz w:val="18"/>
                <w:szCs w:val="18"/>
                <w:lang w:eastAsia="zh-CN"/>
              </w:rPr>
            </w:pPr>
            <w:r>
              <w:rPr>
                <w:rFonts w:hint="eastAsia"/>
                <w:color w:val="000000"/>
                <w:sz w:val="18"/>
                <w:szCs w:val="18"/>
              </w:rPr>
              <w:t>年平均</w:t>
            </w:r>
            <w:r>
              <w:rPr>
                <w:rFonts w:hint="eastAsia"/>
                <w:color w:val="000000"/>
                <w:sz w:val="18"/>
                <w:szCs w:val="18"/>
                <w:lang w:eastAsia="zh-CN"/>
              </w:rPr>
              <w:t>温度</w:t>
            </w:r>
          </w:p>
        </w:tc>
        <w:tc>
          <w:tcPr>
            <w:tcW w:w="1891" w:type="dxa"/>
            <w:shd w:val="clear" w:color="auto" w:fill="FFFFFF"/>
            <w:vAlign w:val="center"/>
          </w:tcPr>
          <w:p w14:paraId="3E2B523F">
            <w:pPr>
              <w:pStyle w:val="151"/>
              <w:spacing w:line="240" w:lineRule="auto"/>
              <w:ind w:firstLine="0"/>
              <w:jc w:val="center"/>
              <w:rPr>
                <w:sz w:val="18"/>
                <w:szCs w:val="18"/>
              </w:rPr>
            </w:pPr>
            <w:r>
              <w:rPr>
                <w:rFonts w:hint="eastAsia"/>
                <w:color w:val="000000"/>
                <w:sz w:val="18"/>
                <w:szCs w:val="18"/>
              </w:rPr>
              <w:t>空气</w:t>
            </w:r>
          </w:p>
        </w:tc>
        <w:tc>
          <w:tcPr>
            <w:tcW w:w="1985" w:type="dxa"/>
            <w:shd w:val="clear" w:color="auto" w:fill="FFFFFF"/>
            <w:vAlign w:val="center"/>
          </w:tcPr>
          <w:p w14:paraId="5D7B5F6C">
            <w:pPr>
              <w:pStyle w:val="151"/>
              <w:spacing w:line="240" w:lineRule="auto"/>
              <w:ind w:firstLine="0"/>
              <w:jc w:val="center"/>
              <w:rPr>
                <w:color w:val="000000"/>
                <w:sz w:val="18"/>
                <w:szCs w:val="18"/>
                <w:lang w:val="en-US" w:eastAsia="zh-CN" w:bidi="en-US"/>
              </w:rPr>
            </w:pPr>
          </w:p>
        </w:tc>
        <w:tc>
          <w:tcPr>
            <w:tcW w:w="1984" w:type="dxa"/>
            <w:shd w:val="clear" w:color="auto" w:fill="FFFFFF"/>
            <w:vAlign w:val="center"/>
          </w:tcPr>
          <w:p w14:paraId="275A2093">
            <w:pPr>
              <w:pStyle w:val="151"/>
              <w:spacing w:line="240" w:lineRule="auto"/>
              <w:ind w:firstLine="0"/>
              <w:jc w:val="center"/>
              <w:rPr>
                <w:color w:val="000000"/>
                <w:sz w:val="18"/>
                <w:szCs w:val="18"/>
                <w:lang w:val="en-US" w:eastAsia="zh-CN" w:bidi="en-US"/>
              </w:rPr>
            </w:pPr>
            <w:r>
              <w:rPr>
                <w:rFonts w:hint="eastAsia"/>
                <w:color w:val="000000"/>
                <w:sz w:val="18"/>
                <w:szCs w:val="18"/>
                <w:lang w:val="en-US" w:eastAsia="zh-CN" w:bidi="en-US"/>
              </w:rPr>
              <w:t>25</w:t>
            </w:r>
          </w:p>
        </w:tc>
      </w:tr>
    </w:tbl>
    <w:p w14:paraId="53ECC7D7">
      <w:pPr>
        <w:spacing w:after="459" w:line="1" w:lineRule="exact"/>
        <w:rPr>
          <w:rFonts w:ascii="宋体" w:hAnsi="宋体" w:cs="宋体"/>
        </w:rPr>
      </w:pPr>
    </w:p>
    <w:p w14:paraId="141E1799">
      <w:pPr>
        <w:pStyle w:val="45"/>
        <w:numPr>
          <w:ilvl w:val="1"/>
          <w:numId w:val="2"/>
        </w:numPr>
        <w:adjustRightInd w:val="0"/>
        <w:snapToGrid w:val="0"/>
        <w:spacing w:before="156" w:beforeLines="50" w:after="156" w:afterLines="50"/>
        <w:ind w:left="0"/>
        <w:outlineLvl w:val="2"/>
      </w:pPr>
      <w:bookmarkStart w:id="42" w:name="_Toc123130248"/>
      <w:r>
        <w:rPr>
          <w:rFonts w:hint="eastAsia"/>
        </w:rPr>
        <w:t>其他条件</w:t>
      </w:r>
      <w:bookmarkEnd w:id="42"/>
    </w:p>
    <w:p w14:paraId="7D5B3744">
      <w:pPr>
        <w:pStyle w:val="46"/>
        <w:spacing w:before="156" w:after="156"/>
        <w:ind w:left="0"/>
        <w:rPr>
          <w:lang w:val="zh-TW" w:eastAsia="zh-TW" w:bidi="zh-TW"/>
        </w:rPr>
      </w:pPr>
      <w:r>
        <w:rPr>
          <w:rFonts w:hint="eastAsia"/>
          <w:lang w:val="zh-TW" w:bidi="zh-TW"/>
        </w:rPr>
        <w:t>环境差异</w:t>
      </w:r>
    </w:p>
    <w:p w14:paraId="0801AAF2">
      <w:pPr>
        <w:pStyle w:val="144"/>
        <w:spacing w:after="140" w:line="370" w:lineRule="exact"/>
        <w:ind w:firstLine="420"/>
        <w:jc w:val="left"/>
        <w:rPr>
          <w:sz w:val="21"/>
          <w:szCs w:val="21"/>
          <w:lang w:eastAsia="zh-CN"/>
        </w:rPr>
      </w:pPr>
      <w:r>
        <w:rPr>
          <w:rFonts w:hint="eastAsia"/>
          <w:color w:val="000000"/>
          <w:sz w:val="21"/>
          <w:szCs w:val="21"/>
          <w:lang w:eastAsia="zh-CN"/>
        </w:rPr>
        <w:t>因使用</w:t>
      </w:r>
      <w:r>
        <w:rPr>
          <w:color w:val="000000"/>
          <w:sz w:val="21"/>
          <w:szCs w:val="21"/>
          <w:lang w:eastAsia="zh-CN"/>
        </w:rPr>
        <w:t>地点所处地区不同而存在使用条件差异时。用户与制造商</w:t>
      </w:r>
      <w:r>
        <w:rPr>
          <w:rFonts w:hint="eastAsia"/>
          <w:color w:val="000000"/>
          <w:sz w:val="21"/>
          <w:szCs w:val="21"/>
          <w:lang w:eastAsia="zh-CN"/>
        </w:rPr>
        <w:t>应</w:t>
      </w:r>
      <w:r>
        <w:rPr>
          <w:color w:val="000000"/>
          <w:sz w:val="21"/>
          <w:szCs w:val="21"/>
          <w:lang w:eastAsia="zh-CN"/>
        </w:rPr>
        <w:t>在合同中另行规定使用条件</w:t>
      </w:r>
      <w:r>
        <w:rPr>
          <w:rFonts w:hint="eastAsia"/>
          <w:color w:val="000000"/>
          <w:sz w:val="21"/>
          <w:szCs w:val="21"/>
          <w:lang w:eastAsia="zh-CN"/>
        </w:rPr>
        <w:t>；</w:t>
      </w:r>
    </w:p>
    <w:p w14:paraId="194A8BEE">
      <w:pPr>
        <w:pStyle w:val="46"/>
        <w:spacing w:before="156" w:after="156"/>
        <w:ind w:left="0"/>
        <w:rPr>
          <w:lang w:val="zh-TW" w:eastAsia="zh-TW" w:bidi="zh-TW"/>
        </w:rPr>
      </w:pPr>
      <w:r>
        <w:rPr>
          <w:rFonts w:hint="eastAsia"/>
          <w:lang w:val="zh-TW" w:eastAsia="zh-TW" w:bidi="zh-TW"/>
        </w:rPr>
        <w:t>户外设备</w:t>
      </w:r>
      <w:r>
        <w:rPr>
          <w:rFonts w:hint="eastAsia"/>
          <w:lang w:val="zh-TW" w:bidi="zh-TW"/>
        </w:rPr>
        <w:t>其他</w:t>
      </w:r>
      <w:r>
        <w:rPr>
          <w:rFonts w:hint="eastAsia"/>
          <w:lang w:val="zh-TW" w:eastAsia="zh-TW" w:bidi="zh-TW"/>
        </w:rPr>
        <w:t>运行条件</w:t>
      </w:r>
    </w:p>
    <w:p w14:paraId="7C46C1E6">
      <w:pPr>
        <w:pStyle w:val="144"/>
        <w:spacing w:after="280" w:line="370" w:lineRule="exact"/>
        <w:ind w:firstLine="420"/>
        <w:jc w:val="left"/>
        <w:rPr>
          <w:sz w:val="21"/>
          <w:szCs w:val="21"/>
        </w:rPr>
      </w:pPr>
      <w:r>
        <w:rPr>
          <w:rFonts w:hint="eastAsia"/>
          <w:color w:val="000000"/>
          <w:sz w:val="21"/>
          <w:szCs w:val="21"/>
        </w:rPr>
        <w:t>户外设备的</w:t>
      </w:r>
      <w:r>
        <w:rPr>
          <w:rFonts w:hint="eastAsia"/>
          <w:color w:val="000000"/>
          <w:sz w:val="21"/>
          <w:szCs w:val="21"/>
          <w:lang w:eastAsia="zh-CN"/>
        </w:rPr>
        <w:t>其他</w:t>
      </w:r>
      <w:r>
        <w:rPr>
          <w:rFonts w:hint="eastAsia"/>
          <w:color w:val="000000"/>
          <w:sz w:val="21"/>
          <w:szCs w:val="21"/>
        </w:rPr>
        <w:t>运行条件应由供应商与</w:t>
      </w:r>
      <w:r>
        <w:rPr>
          <w:rFonts w:hint="eastAsia"/>
          <w:color w:val="000000"/>
          <w:sz w:val="21"/>
          <w:szCs w:val="21"/>
          <w:lang w:eastAsia="zh-CN"/>
        </w:rPr>
        <w:t>订货商</w:t>
      </w:r>
      <w:r>
        <w:rPr>
          <w:rFonts w:hint="eastAsia"/>
          <w:color w:val="000000"/>
          <w:sz w:val="21"/>
          <w:szCs w:val="21"/>
        </w:rPr>
        <w:t>协</w:t>
      </w:r>
      <w:r>
        <w:rPr>
          <w:rFonts w:hint="eastAsia"/>
          <w:color w:val="000000"/>
          <w:sz w:val="21"/>
          <w:szCs w:val="21"/>
          <w:lang w:val="zh-CN" w:eastAsia="zh-CN" w:bidi="zh-CN"/>
        </w:rPr>
        <w:t>商，</w:t>
      </w:r>
      <w:r>
        <w:rPr>
          <w:rFonts w:hint="eastAsia"/>
          <w:color w:val="000000"/>
          <w:sz w:val="21"/>
          <w:szCs w:val="21"/>
        </w:rPr>
        <w:t>并在合同中规定</w:t>
      </w:r>
      <w:r>
        <w:rPr>
          <w:rFonts w:hint="eastAsia"/>
          <w:color w:val="000000"/>
          <w:sz w:val="21"/>
          <w:szCs w:val="21"/>
          <w:lang w:val="en-US" w:eastAsia="zh-CN" w:bidi="en-US"/>
        </w:rPr>
        <w:t>。</w:t>
      </w:r>
    </w:p>
    <w:bookmarkEnd w:id="33"/>
    <w:bookmarkEnd w:id="34"/>
    <w:p w14:paraId="3C8AED55">
      <w:pPr>
        <w:pStyle w:val="45"/>
        <w:numPr>
          <w:ilvl w:val="0"/>
          <w:numId w:val="2"/>
        </w:numPr>
        <w:spacing w:before="312" w:after="312"/>
      </w:pPr>
      <w:bookmarkStart w:id="43" w:name="_Toc123130249"/>
      <w:bookmarkStart w:id="44" w:name="_Toc13773"/>
      <w:r>
        <w:rPr>
          <w:rFonts w:hint="eastAsia"/>
        </w:rPr>
        <w:t>标识</w:t>
      </w:r>
      <w:r>
        <w:t>和代号</w:t>
      </w:r>
      <w:bookmarkEnd w:id="43"/>
    </w:p>
    <w:p w14:paraId="348FA061">
      <w:pPr>
        <w:pStyle w:val="45"/>
        <w:numPr>
          <w:ilvl w:val="1"/>
          <w:numId w:val="2"/>
        </w:numPr>
        <w:adjustRightInd w:val="0"/>
        <w:snapToGrid w:val="0"/>
        <w:spacing w:before="156" w:beforeLines="50" w:after="156" w:afterLines="50"/>
        <w:ind w:left="0"/>
        <w:outlineLvl w:val="2"/>
      </w:pPr>
      <w:bookmarkStart w:id="45" w:name="_Toc123130250"/>
      <w:r>
        <w:rPr>
          <w:rFonts w:hint="eastAsia"/>
        </w:rPr>
        <w:t>导体颜色</w:t>
      </w:r>
      <w:bookmarkEnd w:id="44"/>
      <w:bookmarkEnd w:id="45"/>
    </w:p>
    <w:p w14:paraId="546B734F">
      <w:pPr>
        <w:pStyle w:val="144"/>
        <w:spacing w:after="240" w:line="240" w:lineRule="auto"/>
        <w:ind w:firstLine="460"/>
        <w:jc w:val="left"/>
        <w:rPr>
          <w:sz w:val="21"/>
          <w:szCs w:val="21"/>
        </w:rPr>
      </w:pPr>
      <w:r>
        <w:rPr>
          <w:rFonts w:hint="eastAsia"/>
          <w:color w:val="000000"/>
          <w:sz w:val="21"/>
          <w:szCs w:val="21"/>
        </w:rPr>
        <w:t>导体颜色</w:t>
      </w:r>
      <w:r>
        <w:rPr>
          <w:rFonts w:hint="eastAsia"/>
          <w:color w:val="000000"/>
          <w:sz w:val="21"/>
          <w:szCs w:val="21"/>
          <w:lang w:eastAsia="zh-CN"/>
        </w:rPr>
        <w:t>的</w:t>
      </w:r>
      <w:r>
        <w:rPr>
          <w:color w:val="000000"/>
          <w:sz w:val="21"/>
          <w:szCs w:val="21"/>
          <w:lang w:eastAsia="zh-CN"/>
        </w:rPr>
        <w:t>标识</w:t>
      </w:r>
      <w:r>
        <w:rPr>
          <w:rFonts w:hint="eastAsia"/>
          <w:color w:val="000000"/>
          <w:sz w:val="21"/>
          <w:szCs w:val="21"/>
        </w:rPr>
        <w:t>应符合表</w:t>
      </w:r>
      <w:r>
        <w:rPr>
          <w:rFonts w:hint="eastAsia"/>
          <w:color w:val="000000"/>
          <w:sz w:val="21"/>
          <w:szCs w:val="21"/>
          <w:lang w:val="en-US" w:eastAsia="zh-CN"/>
        </w:rPr>
        <w:t>2</w:t>
      </w:r>
      <w:r>
        <w:rPr>
          <w:rFonts w:hint="eastAsia"/>
          <w:color w:val="000000"/>
          <w:sz w:val="21"/>
          <w:szCs w:val="21"/>
        </w:rPr>
        <w:t>的规定。</w:t>
      </w:r>
    </w:p>
    <w:p w14:paraId="299DA212">
      <w:pPr>
        <w:pStyle w:val="144"/>
        <w:spacing w:line="360" w:lineRule="auto"/>
        <w:ind w:firstLine="0"/>
        <w:jc w:val="center"/>
        <w:rPr>
          <w:bCs/>
          <w:color w:val="000000"/>
          <w:sz w:val="21"/>
          <w:szCs w:val="21"/>
        </w:rPr>
      </w:pPr>
      <w:r>
        <w:rPr>
          <w:rFonts w:hint="eastAsia"/>
          <w:bCs/>
          <w:color w:val="000000"/>
          <w:sz w:val="21"/>
          <w:szCs w:val="21"/>
        </w:rPr>
        <w:t>表2</w:t>
      </w:r>
      <w:r>
        <w:rPr>
          <w:bCs/>
          <w:color w:val="000000"/>
          <w:sz w:val="21"/>
          <w:szCs w:val="21"/>
        </w:rPr>
        <w:t xml:space="preserve"> </w:t>
      </w:r>
      <w:r>
        <w:rPr>
          <w:rFonts w:hint="eastAsia"/>
          <w:bCs/>
          <w:color w:val="000000"/>
          <w:sz w:val="21"/>
          <w:szCs w:val="21"/>
        </w:rPr>
        <w:t>导体颜色</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05"/>
        <w:gridCol w:w="2436"/>
        <w:gridCol w:w="2525"/>
      </w:tblGrid>
      <w:tr w14:paraId="17C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2405" w:type="dxa"/>
            <w:shd w:val="clear" w:color="auto" w:fill="FFFFFF"/>
            <w:vAlign w:val="center"/>
          </w:tcPr>
          <w:p w14:paraId="1D9ABB0A">
            <w:pPr>
              <w:pStyle w:val="151"/>
              <w:spacing w:line="240" w:lineRule="auto"/>
              <w:ind w:firstLine="0"/>
              <w:jc w:val="center"/>
              <w:rPr>
                <w:sz w:val="18"/>
                <w:szCs w:val="18"/>
              </w:rPr>
            </w:pPr>
            <w:r>
              <w:rPr>
                <w:rFonts w:hint="eastAsia"/>
                <w:color w:val="000000"/>
                <w:sz w:val="18"/>
                <w:szCs w:val="18"/>
              </w:rPr>
              <w:t>电路种类</w:t>
            </w:r>
          </w:p>
        </w:tc>
        <w:tc>
          <w:tcPr>
            <w:tcW w:w="2436" w:type="dxa"/>
            <w:shd w:val="clear" w:color="auto" w:fill="FFFFFF"/>
            <w:vAlign w:val="center"/>
          </w:tcPr>
          <w:p w14:paraId="585294C9">
            <w:pPr>
              <w:pStyle w:val="151"/>
              <w:spacing w:line="240" w:lineRule="auto"/>
              <w:ind w:firstLine="0"/>
              <w:jc w:val="center"/>
              <w:rPr>
                <w:sz w:val="18"/>
                <w:szCs w:val="18"/>
              </w:rPr>
            </w:pPr>
            <w:r>
              <w:rPr>
                <w:rFonts w:hint="eastAsia"/>
                <w:color w:val="000000"/>
                <w:sz w:val="18"/>
                <w:szCs w:val="18"/>
              </w:rPr>
              <w:t>导体类型</w:t>
            </w:r>
          </w:p>
        </w:tc>
        <w:tc>
          <w:tcPr>
            <w:tcW w:w="2525" w:type="dxa"/>
            <w:shd w:val="clear" w:color="auto" w:fill="FFFFFF"/>
            <w:vAlign w:val="center"/>
          </w:tcPr>
          <w:p w14:paraId="7235EFCA">
            <w:pPr>
              <w:pStyle w:val="151"/>
              <w:spacing w:line="240" w:lineRule="auto"/>
              <w:ind w:firstLine="0"/>
              <w:jc w:val="center"/>
              <w:rPr>
                <w:sz w:val="18"/>
                <w:szCs w:val="18"/>
              </w:rPr>
            </w:pPr>
            <w:r>
              <w:rPr>
                <w:rFonts w:hint="eastAsia"/>
                <w:color w:val="000000"/>
                <w:sz w:val="18"/>
                <w:szCs w:val="18"/>
              </w:rPr>
              <w:t>颜色</w:t>
            </w:r>
          </w:p>
        </w:tc>
      </w:tr>
      <w:tr w14:paraId="6477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2405" w:type="dxa"/>
            <w:vMerge w:val="restart"/>
            <w:shd w:val="clear" w:color="auto" w:fill="FFFFFF"/>
            <w:vAlign w:val="center"/>
          </w:tcPr>
          <w:p w14:paraId="65FFE843">
            <w:pPr>
              <w:pStyle w:val="151"/>
              <w:spacing w:line="240" w:lineRule="auto"/>
              <w:ind w:firstLine="0"/>
              <w:jc w:val="center"/>
              <w:rPr>
                <w:sz w:val="18"/>
                <w:szCs w:val="18"/>
              </w:rPr>
            </w:pPr>
            <w:r>
              <w:rPr>
                <w:rFonts w:hint="eastAsia"/>
                <w:color w:val="000000"/>
                <w:sz w:val="18"/>
                <w:szCs w:val="18"/>
              </w:rPr>
              <w:t>交流</w:t>
            </w:r>
          </w:p>
        </w:tc>
        <w:tc>
          <w:tcPr>
            <w:tcW w:w="2436" w:type="dxa"/>
            <w:shd w:val="clear" w:color="auto" w:fill="FFFFFF"/>
            <w:vAlign w:val="center"/>
          </w:tcPr>
          <w:p w14:paraId="64DA29E5">
            <w:pPr>
              <w:pStyle w:val="151"/>
              <w:spacing w:line="240" w:lineRule="auto"/>
              <w:ind w:firstLine="0"/>
              <w:jc w:val="center"/>
              <w:rPr>
                <w:sz w:val="18"/>
                <w:szCs w:val="18"/>
              </w:rPr>
            </w:pPr>
            <w:r>
              <w:rPr>
                <w:rFonts w:hint="eastAsia"/>
                <w:color w:val="000000"/>
                <w:sz w:val="18"/>
                <w:szCs w:val="18"/>
                <w:lang w:val="en-US" w:eastAsia="en-US" w:bidi="en-US"/>
              </w:rPr>
              <w:t>U</w:t>
            </w:r>
            <w:r>
              <w:rPr>
                <w:rFonts w:hint="eastAsia"/>
                <w:color w:val="000000"/>
                <w:sz w:val="18"/>
                <w:szCs w:val="18"/>
              </w:rPr>
              <w:t>（或</w:t>
            </w:r>
            <w:r>
              <w:rPr>
                <w:rFonts w:hint="eastAsia"/>
                <w:color w:val="000000"/>
                <w:sz w:val="18"/>
                <w:szCs w:val="18"/>
                <w:lang w:val="en-US" w:eastAsia="en-US" w:bidi="en-US"/>
              </w:rPr>
              <w:t>A）</w:t>
            </w:r>
            <w:r>
              <w:rPr>
                <w:rFonts w:hint="eastAsia"/>
                <w:color w:val="000000"/>
                <w:sz w:val="18"/>
                <w:szCs w:val="18"/>
              </w:rPr>
              <w:t>相</w:t>
            </w:r>
          </w:p>
        </w:tc>
        <w:tc>
          <w:tcPr>
            <w:tcW w:w="2525" w:type="dxa"/>
            <w:shd w:val="clear" w:color="auto" w:fill="FFFFFF"/>
            <w:vAlign w:val="center"/>
          </w:tcPr>
          <w:p w14:paraId="6EC40135">
            <w:pPr>
              <w:pStyle w:val="151"/>
              <w:spacing w:line="240" w:lineRule="auto"/>
              <w:ind w:firstLine="0"/>
              <w:jc w:val="center"/>
              <w:rPr>
                <w:sz w:val="18"/>
                <w:szCs w:val="18"/>
              </w:rPr>
            </w:pPr>
            <w:r>
              <w:rPr>
                <w:rFonts w:hint="eastAsia"/>
                <w:color w:val="000000"/>
                <w:sz w:val="18"/>
                <w:szCs w:val="18"/>
              </w:rPr>
              <w:t>黄</w:t>
            </w:r>
          </w:p>
        </w:tc>
      </w:tr>
      <w:tr w14:paraId="242E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2405" w:type="dxa"/>
            <w:vMerge w:val="continue"/>
            <w:shd w:val="clear" w:color="auto" w:fill="FFFFFF"/>
            <w:vAlign w:val="center"/>
          </w:tcPr>
          <w:p w14:paraId="672B3366">
            <w:pPr>
              <w:rPr>
                <w:rFonts w:ascii="宋体" w:hAnsi="宋体" w:cs="宋体"/>
                <w:sz w:val="18"/>
                <w:szCs w:val="18"/>
              </w:rPr>
            </w:pPr>
          </w:p>
        </w:tc>
        <w:tc>
          <w:tcPr>
            <w:tcW w:w="2436" w:type="dxa"/>
            <w:shd w:val="clear" w:color="auto" w:fill="FFFFFF"/>
            <w:vAlign w:val="center"/>
          </w:tcPr>
          <w:p w14:paraId="00ECCD33">
            <w:pPr>
              <w:pStyle w:val="151"/>
              <w:spacing w:line="240" w:lineRule="auto"/>
              <w:ind w:firstLine="0"/>
              <w:jc w:val="center"/>
              <w:rPr>
                <w:sz w:val="18"/>
                <w:szCs w:val="18"/>
              </w:rPr>
            </w:pPr>
            <w:r>
              <w:rPr>
                <w:rFonts w:hint="eastAsia"/>
                <w:color w:val="000000"/>
                <w:sz w:val="18"/>
                <w:szCs w:val="18"/>
              </w:rPr>
              <w:t>V（或</w:t>
            </w:r>
            <w:r>
              <w:rPr>
                <w:rFonts w:hint="eastAsia"/>
                <w:color w:val="000000"/>
                <w:sz w:val="18"/>
                <w:szCs w:val="18"/>
                <w:lang w:val="en-US" w:eastAsia="en-US" w:bidi="en-US"/>
              </w:rPr>
              <w:t>B）</w:t>
            </w:r>
            <w:r>
              <w:rPr>
                <w:rFonts w:hint="eastAsia"/>
                <w:color w:val="000000"/>
                <w:sz w:val="18"/>
                <w:szCs w:val="18"/>
              </w:rPr>
              <w:t>相</w:t>
            </w:r>
          </w:p>
        </w:tc>
        <w:tc>
          <w:tcPr>
            <w:tcW w:w="2525" w:type="dxa"/>
            <w:shd w:val="clear" w:color="auto" w:fill="FFFFFF"/>
            <w:vAlign w:val="center"/>
          </w:tcPr>
          <w:p w14:paraId="36CA4DA0">
            <w:pPr>
              <w:pStyle w:val="151"/>
              <w:spacing w:line="240" w:lineRule="auto"/>
              <w:ind w:firstLine="0"/>
              <w:jc w:val="center"/>
              <w:rPr>
                <w:sz w:val="18"/>
                <w:szCs w:val="18"/>
              </w:rPr>
            </w:pPr>
            <w:r>
              <w:rPr>
                <w:rFonts w:hint="eastAsia"/>
                <w:color w:val="000000"/>
                <w:sz w:val="18"/>
                <w:szCs w:val="18"/>
              </w:rPr>
              <w:t>绿</w:t>
            </w:r>
          </w:p>
        </w:tc>
      </w:tr>
      <w:tr w14:paraId="393A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2405" w:type="dxa"/>
            <w:vMerge w:val="continue"/>
            <w:shd w:val="clear" w:color="auto" w:fill="FFFFFF"/>
            <w:vAlign w:val="center"/>
          </w:tcPr>
          <w:p w14:paraId="6C5E2EE6">
            <w:pPr>
              <w:rPr>
                <w:rFonts w:ascii="宋体" w:hAnsi="宋体" w:cs="宋体"/>
                <w:sz w:val="18"/>
                <w:szCs w:val="18"/>
              </w:rPr>
            </w:pPr>
          </w:p>
        </w:tc>
        <w:tc>
          <w:tcPr>
            <w:tcW w:w="2436" w:type="dxa"/>
            <w:shd w:val="clear" w:color="auto" w:fill="FFFFFF"/>
            <w:vAlign w:val="center"/>
          </w:tcPr>
          <w:p w14:paraId="1428964B">
            <w:pPr>
              <w:pStyle w:val="151"/>
              <w:spacing w:line="240" w:lineRule="auto"/>
              <w:ind w:firstLine="0"/>
              <w:jc w:val="center"/>
              <w:rPr>
                <w:sz w:val="18"/>
                <w:szCs w:val="18"/>
              </w:rPr>
            </w:pPr>
            <w:r>
              <w:rPr>
                <w:rFonts w:hint="eastAsia"/>
                <w:color w:val="000000"/>
                <w:sz w:val="18"/>
                <w:szCs w:val="18"/>
                <w:lang w:val="en-US" w:eastAsia="en-US" w:bidi="en-US"/>
              </w:rPr>
              <w:t>W</w:t>
            </w:r>
            <w:r>
              <w:rPr>
                <w:rFonts w:hint="eastAsia"/>
                <w:color w:val="000000"/>
                <w:sz w:val="18"/>
                <w:szCs w:val="18"/>
              </w:rPr>
              <w:t>（或</w:t>
            </w:r>
            <w:r>
              <w:rPr>
                <w:rFonts w:hint="eastAsia"/>
                <w:color w:val="000000"/>
                <w:sz w:val="18"/>
                <w:szCs w:val="18"/>
                <w:lang w:val="en-US" w:eastAsia="en-US" w:bidi="en-US"/>
              </w:rPr>
              <w:t>C）</w:t>
            </w:r>
            <w:r>
              <w:rPr>
                <w:rFonts w:hint="eastAsia"/>
                <w:color w:val="000000"/>
                <w:sz w:val="18"/>
                <w:szCs w:val="18"/>
              </w:rPr>
              <w:t>相</w:t>
            </w:r>
          </w:p>
        </w:tc>
        <w:tc>
          <w:tcPr>
            <w:tcW w:w="2525" w:type="dxa"/>
            <w:shd w:val="clear" w:color="auto" w:fill="FFFFFF"/>
            <w:vAlign w:val="center"/>
          </w:tcPr>
          <w:p w14:paraId="120EE546">
            <w:pPr>
              <w:pStyle w:val="151"/>
              <w:spacing w:line="240" w:lineRule="auto"/>
              <w:ind w:firstLine="0"/>
              <w:jc w:val="center"/>
              <w:rPr>
                <w:sz w:val="18"/>
                <w:szCs w:val="18"/>
              </w:rPr>
            </w:pPr>
            <w:r>
              <w:rPr>
                <w:rFonts w:hint="eastAsia"/>
                <w:color w:val="000000"/>
                <w:sz w:val="18"/>
                <w:szCs w:val="18"/>
              </w:rPr>
              <w:t>红</w:t>
            </w:r>
          </w:p>
        </w:tc>
      </w:tr>
      <w:tr w14:paraId="61FB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exact"/>
          <w:jc w:val="center"/>
        </w:trPr>
        <w:tc>
          <w:tcPr>
            <w:tcW w:w="2405" w:type="dxa"/>
            <w:vMerge w:val="continue"/>
            <w:shd w:val="clear" w:color="auto" w:fill="FFFFFF"/>
            <w:vAlign w:val="center"/>
          </w:tcPr>
          <w:p w14:paraId="251606D6">
            <w:pPr>
              <w:rPr>
                <w:rFonts w:ascii="宋体" w:hAnsi="宋体" w:cs="宋体"/>
                <w:sz w:val="18"/>
                <w:szCs w:val="18"/>
              </w:rPr>
            </w:pPr>
          </w:p>
        </w:tc>
        <w:tc>
          <w:tcPr>
            <w:tcW w:w="2436" w:type="dxa"/>
            <w:shd w:val="clear" w:color="auto" w:fill="FFFFFF"/>
            <w:vAlign w:val="center"/>
          </w:tcPr>
          <w:p w14:paraId="3046ED7F">
            <w:pPr>
              <w:pStyle w:val="151"/>
              <w:spacing w:line="240" w:lineRule="auto"/>
              <w:ind w:firstLine="0"/>
              <w:jc w:val="center"/>
              <w:rPr>
                <w:sz w:val="18"/>
                <w:szCs w:val="18"/>
              </w:rPr>
            </w:pPr>
            <w:r>
              <w:rPr>
                <w:rFonts w:hint="eastAsia"/>
                <w:color w:val="000000"/>
                <w:sz w:val="18"/>
                <w:szCs w:val="18"/>
              </w:rPr>
              <w:t>中性导体</w:t>
            </w:r>
          </w:p>
        </w:tc>
        <w:tc>
          <w:tcPr>
            <w:tcW w:w="2525" w:type="dxa"/>
            <w:shd w:val="clear" w:color="auto" w:fill="FFFFFF"/>
            <w:vAlign w:val="center"/>
          </w:tcPr>
          <w:p w14:paraId="76859533">
            <w:pPr>
              <w:pStyle w:val="151"/>
              <w:spacing w:line="240" w:lineRule="auto"/>
              <w:ind w:firstLine="0"/>
              <w:jc w:val="center"/>
              <w:rPr>
                <w:sz w:val="18"/>
                <w:szCs w:val="18"/>
              </w:rPr>
            </w:pPr>
            <w:r>
              <w:rPr>
                <w:rFonts w:hint="eastAsia"/>
                <w:color w:val="000000"/>
                <w:sz w:val="18"/>
                <w:szCs w:val="18"/>
              </w:rPr>
              <w:t>淡蓝</w:t>
            </w:r>
          </w:p>
        </w:tc>
      </w:tr>
      <w:tr w14:paraId="3D4C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exact"/>
          <w:jc w:val="center"/>
        </w:trPr>
        <w:tc>
          <w:tcPr>
            <w:tcW w:w="2405" w:type="dxa"/>
            <w:vMerge w:val="continue"/>
            <w:shd w:val="clear" w:color="auto" w:fill="FFFFFF"/>
            <w:vAlign w:val="center"/>
          </w:tcPr>
          <w:p w14:paraId="180CB1FF">
            <w:pPr>
              <w:rPr>
                <w:rFonts w:ascii="宋体" w:hAnsi="宋体" w:cs="宋体"/>
                <w:sz w:val="18"/>
                <w:szCs w:val="18"/>
              </w:rPr>
            </w:pPr>
          </w:p>
        </w:tc>
        <w:tc>
          <w:tcPr>
            <w:tcW w:w="2436" w:type="dxa"/>
            <w:shd w:val="clear" w:color="auto" w:fill="FFFFFF"/>
            <w:vAlign w:val="center"/>
          </w:tcPr>
          <w:p w14:paraId="4DEEB06F">
            <w:pPr>
              <w:pStyle w:val="151"/>
              <w:spacing w:line="240" w:lineRule="auto"/>
              <w:ind w:firstLine="0"/>
              <w:jc w:val="center"/>
              <w:rPr>
                <w:sz w:val="18"/>
                <w:szCs w:val="18"/>
              </w:rPr>
            </w:pPr>
            <w:r>
              <w:rPr>
                <w:rFonts w:hint="eastAsia"/>
                <w:color w:val="000000"/>
                <w:sz w:val="18"/>
                <w:szCs w:val="18"/>
                <w:lang w:val="en-US" w:eastAsia="en-US" w:bidi="en-US"/>
              </w:rPr>
              <w:t>PEN</w:t>
            </w:r>
            <w:r>
              <w:rPr>
                <w:rFonts w:hint="eastAsia"/>
                <w:color w:val="000000"/>
                <w:sz w:val="18"/>
                <w:szCs w:val="18"/>
              </w:rPr>
              <w:t>导体</w:t>
            </w:r>
          </w:p>
        </w:tc>
        <w:tc>
          <w:tcPr>
            <w:tcW w:w="2525" w:type="dxa"/>
            <w:shd w:val="clear" w:color="auto" w:fill="FFFFFF"/>
            <w:vAlign w:val="center"/>
          </w:tcPr>
          <w:p w14:paraId="5BCB9D8B">
            <w:pPr>
              <w:pStyle w:val="151"/>
              <w:spacing w:line="240" w:lineRule="auto"/>
              <w:ind w:firstLine="0"/>
              <w:jc w:val="center"/>
              <w:rPr>
                <w:sz w:val="18"/>
                <w:szCs w:val="18"/>
              </w:rPr>
            </w:pPr>
            <w:r>
              <w:rPr>
                <w:rFonts w:hint="eastAsia"/>
                <w:color w:val="000000"/>
                <w:sz w:val="18"/>
                <w:szCs w:val="18"/>
              </w:rPr>
              <w:t>绿/黄双色</w:t>
            </w:r>
          </w:p>
        </w:tc>
      </w:tr>
    </w:tbl>
    <w:p w14:paraId="648FB485">
      <w:pPr>
        <w:pStyle w:val="23"/>
        <w:ind w:firstLine="0" w:firstLineChars="0"/>
        <w:rPr>
          <w:rFonts w:hAnsi="宋体" w:cs="宋体"/>
        </w:rPr>
      </w:pPr>
    </w:p>
    <w:p w14:paraId="3602BFA0">
      <w:pPr>
        <w:pStyle w:val="45"/>
        <w:numPr>
          <w:ilvl w:val="1"/>
          <w:numId w:val="2"/>
        </w:numPr>
        <w:adjustRightInd w:val="0"/>
        <w:snapToGrid w:val="0"/>
        <w:spacing w:before="156" w:beforeLines="50" w:after="156" w:afterLines="50"/>
        <w:ind w:left="0"/>
        <w:outlineLvl w:val="2"/>
      </w:pPr>
      <w:bookmarkStart w:id="46" w:name="_Toc123130251"/>
      <w:bookmarkStart w:id="47" w:name="_Toc1029"/>
      <w:r>
        <w:rPr>
          <w:rFonts w:hint="eastAsia"/>
        </w:rPr>
        <w:t>冷却方式标识代号</w:t>
      </w:r>
      <w:bookmarkEnd w:id="46"/>
      <w:bookmarkEnd w:id="47"/>
    </w:p>
    <w:p w14:paraId="622146DD">
      <w:pPr>
        <w:pStyle w:val="46"/>
        <w:spacing w:before="156" w:after="156"/>
        <w:ind w:left="0"/>
        <w:rPr>
          <w:lang w:val="zh-TW" w:eastAsia="zh-TW" w:bidi="zh-TW"/>
        </w:rPr>
      </w:pPr>
      <w:r>
        <w:rPr>
          <w:rFonts w:hint="eastAsia"/>
          <w:lang w:val="zh-TW" w:eastAsia="zh-TW" w:bidi="zh-TW"/>
        </w:rPr>
        <w:t>概述</w:t>
      </w:r>
    </w:p>
    <w:p w14:paraId="51B41A0F">
      <w:pPr>
        <w:pStyle w:val="144"/>
        <w:spacing w:line="240" w:lineRule="auto"/>
        <w:ind w:firstLine="420" w:firstLineChars="200"/>
        <w:jc w:val="left"/>
        <w:rPr>
          <w:sz w:val="21"/>
          <w:szCs w:val="21"/>
        </w:rPr>
      </w:pPr>
      <w:r>
        <w:rPr>
          <w:rFonts w:hint="eastAsia"/>
          <w:color w:val="000000"/>
          <w:sz w:val="21"/>
          <w:szCs w:val="21"/>
        </w:rPr>
        <w:t>冷却方式以字母代号标识。</w:t>
      </w:r>
      <w:r>
        <w:rPr>
          <w:rFonts w:hint="eastAsia"/>
          <w:color w:val="000000"/>
          <w:sz w:val="21"/>
          <w:szCs w:val="21"/>
          <w:lang w:eastAsia="zh-CN"/>
        </w:rPr>
        <w:t>其中</w:t>
      </w:r>
      <w:r>
        <w:rPr>
          <w:rFonts w:hint="eastAsia"/>
          <w:color w:val="000000"/>
          <w:sz w:val="21"/>
          <w:szCs w:val="21"/>
        </w:rPr>
        <w:t>冷却媒质或热转移媒质的标识代号见表</w:t>
      </w:r>
      <w:r>
        <w:rPr>
          <w:rFonts w:hint="eastAsia"/>
          <w:color w:val="000000"/>
          <w:sz w:val="21"/>
          <w:szCs w:val="21"/>
          <w:lang w:val="en-US" w:eastAsia="zh-CN" w:bidi="en-US"/>
        </w:rPr>
        <w:t>3，循环方式的标识代号见表4。</w:t>
      </w:r>
    </w:p>
    <w:p w14:paraId="5EBF10FF">
      <w:pPr>
        <w:pStyle w:val="144"/>
        <w:spacing w:line="360" w:lineRule="auto"/>
        <w:ind w:firstLine="0"/>
        <w:jc w:val="center"/>
        <w:rPr>
          <w:bCs/>
          <w:color w:val="000000"/>
          <w:sz w:val="21"/>
          <w:szCs w:val="21"/>
        </w:rPr>
      </w:pPr>
      <w:r>
        <w:rPr>
          <w:rFonts w:hint="eastAsia"/>
          <w:bCs/>
          <w:color w:val="000000"/>
          <w:sz w:val="21"/>
          <w:szCs w:val="21"/>
        </w:rPr>
        <w:t>表3</w:t>
      </w:r>
      <w:r>
        <w:rPr>
          <w:rFonts w:eastAsia="PMingLiU"/>
          <w:bCs/>
          <w:color w:val="000000"/>
          <w:sz w:val="21"/>
          <w:szCs w:val="21"/>
        </w:rPr>
        <w:t xml:space="preserve"> </w:t>
      </w:r>
      <w:r>
        <w:rPr>
          <w:rFonts w:hint="eastAsia"/>
          <w:bCs/>
          <w:color w:val="000000"/>
          <w:sz w:val="21"/>
          <w:szCs w:val="21"/>
        </w:rPr>
        <w:t>冷却媒质或热转移媒质的标识代号</w:t>
      </w:r>
    </w:p>
    <w:tbl>
      <w:tblPr>
        <w:tblStyle w:val="32"/>
        <w:tblW w:w="0" w:type="auto"/>
        <w:jc w:val="center"/>
        <w:tblLayout w:type="fixed"/>
        <w:tblCellMar>
          <w:top w:w="0" w:type="dxa"/>
          <w:left w:w="10" w:type="dxa"/>
          <w:bottom w:w="0" w:type="dxa"/>
          <w:right w:w="10" w:type="dxa"/>
        </w:tblCellMar>
      </w:tblPr>
      <w:tblGrid>
        <w:gridCol w:w="3711"/>
        <w:gridCol w:w="3655"/>
      </w:tblGrid>
      <w:tr w14:paraId="0018B318">
        <w:tblPrEx>
          <w:tblCellMar>
            <w:top w:w="0" w:type="dxa"/>
            <w:left w:w="10" w:type="dxa"/>
            <w:bottom w:w="0" w:type="dxa"/>
            <w:right w:w="10" w:type="dxa"/>
          </w:tblCellMar>
        </w:tblPrEx>
        <w:trPr>
          <w:trHeight w:val="384" w:hRule="exact"/>
          <w:jc w:val="center"/>
        </w:trPr>
        <w:tc>
          <w:tcPr>
            <w:tcW w:w="3711" w:type="dxa"/>
            <w:tcBorders>
              <w:top w:val="single" w:color="auto" w:sz="4" w:space="0"/>
              <w:left w:val="single" w:color="auto" w:sz="4" w:space="0"/>
            </w:tcBorders>
            <w:shd w:val="clear" w:color="auto" w:fill="FFFFFF"/>
            <w:vAlign w:val="center"/>
          </w:tcPr>
          <w:p w14:paraId="586F428C">
            <w:pPr>
              <w:pStyle w:val="151"/>
              <w:spacing w:line="240" w:lineRule="auto"/>
              <w:ind w:firstLine="0"/>
              <w:jc w:val="center"/>
              <w:rPr>
                <w:sz w:val="18"/>
                <w:szCs w:val="18"/>
              </w:rPr>
            </w:pPr>
            <w:r>
              <w:rPr>
                <w:rFonts w:hint="eastAsia"/>
                <w:color w:val="000000"/>
                <w:sz w:val="18"/>
                <w:szCs w:val="18"/>
              </w:rPr>
              <w:t>冷却媒质或热转移媒质</w:t>
            </w:r>
          </w:p>
        </w:tc>
        <w:tc>
          <w:tcPr>
            <w:tcW w:w="3655" w:type="dxa"/>
            <w:tcBorders>
              <w:top w:val="single" w:color="auto" w:sz="4" w:space="0"/>
              <w:left w:val="single" w:color="auto" w:sz="4" w:space="0"/>
              <w:right w:val="single" w:color="auto" w:sz="4" w:space="0"/>
            </w:tcBorders>
            <w:shd w:val="clear" w:color="auto" w:fill="FFFFFF"/>
            <w:vAlign w:val="center"/>
          </w:tcPr>
          <w:p w14:paraId="2A431C85">
            <w:pPr>
              <w:pStyle w:val="151"/>
              <w:spacing w:line="240" w:lineRule="auto"/>
              <w:ind w:firstLine="0"/>
              <w:jc w:val="center"/>
              <w:rPr>
                <w:sz w:val="18"/>
                <w:szCs w:val="18"/>
              </w:rPr>
            </w:pPr>
            <w:r>
              <w:rPr>
                <w:rFonts w:hint="eastAsia"/>
                <w:color w:val="000000"/>
                <w:sz w:val="18"/>
                <w:szCs w:val="18"/>
              </w:rPr>
              <w:t>标识代号</w:t>
            </w:r>
          </w:p>
        </w:tc>
      </w:tr>
      <w:tr w14:paraId="0B6F87FB">
        <w:tblPrEx>
          <w:tblCellMar>
            <w:top w:w="0" w:type="dxa"/>
            <w:left w:w="10" w:type="dxa"/>
            <w:bottom w:w="0" w:type="dxa"/>
            <w:right w:w="10" w:type="dxa"/>
          </w:tblCellMar>
        </w:tblPrEx>
        <w:trPr>
          <w:trHeight w:val="365" w:hRule="exact"/>
          <w:jc w:val="center"/>
        </w:trPr>
        <w:tc>
          <w:tcPr>
            <w:tcW w:w="3711" w:type="dxa"/>
            <w:tcBorders>
              <w:top w:val="single" w:color="auto" w:sz="4" w:space="0"/>
              <w:left w:val="single" w:color="auto" w:sz="4" w:space="0"/>
            </w:tcBorders>
            <w:shd w:val="clear" w:color="auto" w:fill="FFFFFF"/>
            <w:vAlign w:val="center"/>
          </w:tcPr>
          <w:p w14:paraId="2EB4A9A9">
            <w:pPr>
              <w:pStyle w:val="151"/>
              <w:spacing w:line="240" w:lineRule="auto"/>
              <w:ind w:firstLine="0"/>
              <w:jc w:val="center"/>
              <w:rPr>
                <w:sz w:val="18"/>
                <w:szCs w:val="18"/>
              </w:rPr>
            </w:pPr>
            <w:r>
              <w:rPr>
                <w:rFonts w:hint="eastAsia"/>
                <w:color w:val="000000"/>
                <w:sz w:val="18"/>
                <w:szCs w:val="18"/>
              </w:rPr>
              <w:t>矿物油</w:t>
            </w:r>
          </w:p>
        </w:tc>
        <w:tc>
          <w:tcPr>
            <w:tcW w:w="3655" w:type="dxa"/>
            <w:tcBorders>
              <w:top w:val="single" w:color="auto" w:sz="4" w:space="0"/>
              <w:left w:val="single" w:color="auto" w:sz="4" w:space="0"/>
              <w:right w:val="single" w:color="auto" w:sz="4" w:space="0"/>
            </w:tcBorders>
            <w:shd w:val="clear" w:color="auto" w:fill="FFFFFF"/>
            <w:vAlign w:val="center"/>
          </w:tcPr>
          <w:p w14:paraId="0556A99B">
            <w:pPr>
              <w:pStyle w:val="151"/>
              <w:spacing w:line="240" w:lineRule="auto"/>
              <w:ind w:firstLine="0"/>
              <w:jc w:val="center"/>
              <w:rPr>
                <w:sz w:val="18"/>
                <w:szCs w:val="18"/>
                <w:lang w:eastAsia="zh-CN"/>
              </w:rPr>
            </w:pPr>
            <w:r>
              <w:rPr>
                <w:rFonts w:hint="eastAsia"/>
                <w:color w:val="000000"/>
                <w:sz w:val="18"/>
                <w:szCs w:val="18"/>
                <w:lang w:val="en-US" w:eastAsia="zh-CN"/>
              </w:rPr>
              <w:t>O</w:t>
            </w:r>
          </w:p>
        </w:tc>
      </w:tr>
      <w:tr w14:paraId="31146346">
        <w:tblPrEx>
          <w:tblCellMar>
            <w:top w:w="0" w:type="dxa"/>
            <w:left w:w="10" w:type="dxa"/>
            <w:bottom w:w="0" w:type="dxa"/>
            <w:right w:w="10" w:type="dxa"/>
          </w:tblCellMar>
        </w:tblPrEx>
        <w:trPr>
          <w:trHeight w:val="365" w:hRule="exact"/>
          <w:jc w:val="center"/>
        </w:trPr>
        <w:tc>
          <w:tcPr>
            <w:tcW w:w="3711" w:type="dxa"/>
            <w:tcBorders>
              <w:top w:val="single" w:color="auto" w:sz="4" w:space="0"/>
              <w:left w:val="single" w:color="auto" w:sz="4" w:space="0"/>
            </w:tcBorders>
            <w:shd w:val="clear" w:color="auto" w:fill="FFFFFF"/>
            <w:vAlign w:val="center"/>
          </w:tcPr>
          <w:p w14:paraId="5719C4D8">
            <w:pPr>
              <w:pStyle w:val="151"/>
              <w:spacing w:line="240" w:lineRule="auto"/>
              <w:ind w:firstLine="0"/>
              <w:jc w:val="center"/>
              <w:rPr>
                <w:sz w:val="18"/>
                <w:szCs w:val="18"/>
              </w:rPr>
            </w:pPr>
            <w:r>
              <w:rPr>
                <w:rFonts w:hint="eastAsia"/>
                <w:color w:val="000000"/>
                <w:sz w:val="18"/>
                <w:szCs w:val="18"/>
              </w:rPr>
              <w:t>绝缘液（非矿物油、非水）</w:t>
            </w:r>
          </w:p>
        </w:tc>
        <w:tc>
          <w:tcPr>
            <w:tcW w:w="3655" w:type="dxa"/>
            <w:tcBorders>
              <w:top w:val="single" w:color="auto" w:sz="4" w:space="0"/>
              <w:left w:val="single" w:color="auto" w:sz="4" w:space="0"/>
              <w:right w:val="single" w:color="auto" w:sz="4" w:space="0"/>
            </w:tcBorders>
            <w:shd w:val="clear" w:color="auto" w:fill="FFFFFF"/>
            <w:vAlign w:val="center"/>
          </w:tcPr>
          <w:p w14:paraId="097325E4">
            <w:pPr>
              <w:pStyle w:val="151"/>
              <w:spacing w:line="240" w:lineRule="auto"/>
              <w:ind w:firstLine="0"/>
              <w:jc w:val="center"/>
              <w:rPr>
                <w:sz w:val="18"/>
                <w:szCs w:val="18"/>
              </w:rPr>
            </w:pPr>
            <w:r>
              <w:rPr>
                <w:rFonts w:hint="eastAsia"/>
                <w:color w:val="000000"/>
                <w:sz w:val="18"/>
                <w:szCs w:val="18"/>
                <w:lang w:val="en-US" w:eastAsia="en-US" w:bidi="en-US"/>
              </w:rPr>
              <w:t>L</w:t>
            </w:r>
          </w:p>
        </w:tc>
      </w:tr>
      <w:tr w14:paraId="6D7A8845">
        <w:tblPrEx>
          <w:tblCellMar>
            <w:top w:w="0" w:type="dxa"/>
            <w:left w:w="10" w:type="dxa"/>
            <w:bottom w:w="0" w:type="dxa"/>
            <w:right w:w="10" w:type="dxa"/>
          </w:tblCellMar>
        </w:tblPrEx>
        <w:trPr>
          <w:trHeight w:val="360" w:hRule="exact"/>
          <w:jc w:val="center"/>
        </w:trPr>
        <w:tc>
          <w:tcPr>
            <w:tcW w:w="3711" w:type="dxa"/>
            <w:tcBorders>
              <w:top w:val="single" w:color="auto" w:sz="4" w:space="0"/>
              <w:left w:val="single" w:color="auto" w:sz="4" w:space="0"/>
            </w:tcBorders>
            <w:shd w:val="clear" w:color="auto" w:fill="FFFFFF"/>
            <w:vAlign w:val="center"/>
          </w:tcPr>
          <w:p w14:paraId="365AAE8C">
            <w:pPr>
              <w:pStyle w:val="151"/>
              <w:spacing w:line="240" w:lineRule="auto"/>
              <w:ind w:firstLine="0"/>
              <w:jc w:val="center"/>
              <w:rPr>
                <w:sz w:val="18"/>
                <w:szCs w:val="18"/>
              </w:rPr>
            </w:pPr>
            <w:r>
              <w:rPr>
                <w:rFonts w:hint="eastAsia"/>
                <w:color w:val="000000"/>
                <w:sz w:val="18"/>
                <w:szCs w:val="18"/>
              </w:rPr>
              <w:t>气体</w:t>
            </w:r>
          </w:p>
        </w:tc>
        <w:tc>
          <w:tcPr>
            <w:tcW w:w="3655" w:type="dxa"/>
            <w:tcBorders>
              <w:top w:val="single" w:color="auto" w:sz="4" w:space="0"/>
              <w:left w:val="single" w:color="auto" w:sz="4" w:space="0"/>
              <w:right w:val="single" w:color="auto" w:sz="4" w:space="0"/>
            </w:tcBorders>
            <w:shd w:val="clear" w:color="auto" w:fill="FFFFFF"/>
            <w:vAlign w:val="center"/>
          </w:tcPr>
          <w:p w14:paraId="324C007F">
            <w:pPr>
              <w:pStyle w:val="151"/>
              <w:spacing w:line="240" w:lineRule="auto"/>
              <w:ind w:firstLine="0"/>
              <w:jc w:val="center"/>
              <w:rPr>
                <w:sz w:val="18"/>
                <w:szCs w:val="18"/>
                <w:lang w:val="en-US" w:eastAsia="zh-CN"/>
              </w:rPr>
            </w:pPr>
            <w:r>
              <w:rPr>
                <w:rFonts w:hint="eastAsia"/>
                <w:sz w:val="18"/>
                <w:szCs w:val="18"/>
                <w:lang w:val="en-US" w:eastAsia="zh-CN"/>
              </w:rPr>
              <w:t>G</w:t>
            </w:r>
          </w:p>
        </w:tc>
      </w:tr>
      <w:tr w14:paraId="732E3B3A">
        <w:tblPrEx>
          <w:tblCellMar>
            <w:top w:w="0" w:type="dxa"/>
            <w:left w:w="10" w:type="dxa"/>
            <w:bottom w:w="0" w:type="dxa"/>
            <w:right w:w="10" w:type="dxa"/>
          </w:tblCellMar>
        </w:tblPrEx>
        <w:trPr>
          <w:trHeight w:val="360" w:hRule="exact"/>
          <w:jc w:val="center"/>
        </w:trPr>
        <w:tc>
          <w:tcPr>
            <w:tcW w:w="3711" w:type="dxa"/>
            <w:tcBorders>
              <w:top w:val="single" w:color="auto" w:sz="4" w:space="0"/>
              <w:left w:val="single" w:color="auto" w:sz="4" w:space="0"/>
            </w:tcBorders>
            <w:shd w:val="clear" w:color="auto" w:fill="FFFFFF"/>
            <w:vAlign w:val="center"/>
          </w:tcPr>
          <w:p w14:paraId="459426DD">
            <w:pPr>
              <w:pStyle w:val="151"/>
              <w:spacing w:line="240" w:lineRule="auto"/>
              <w:ind w:firstLine="0"/>
              <w:jc w:val="center"/>
              <w:rPr>
                <w:sz w:val="18"/>
                <w:szCs w:val="18"/>
              </w:rPr>
            </w:pPr>
            <w:r>
              <w:rPr>
                <w:rFonts w:hint="eastAsia"/>
                <w:color w:val="000000"/>
                <w:sz w:val="18"/>
                <w:szCs w:val="18"/>
              </w:rPr>
              <w:t>水</w:t>
            </w:r>
          </w:p>
        </w:tc>
        <w:tc>
          <w:tcPr>
            <w:tcW w:w="3655" w:type="dxa"/>
            <w:tcBorders>
              <w:top w:val="single" w:color="auto" w:sz="4" w:space="0"/>
              <w:left w:val="single" w:color="auto" w:sz="4" w:space="0"/>
              <w:right w:val="single" w:color="auto" w:sz="4" w:space="0"/>
            </w:tcBorders>
            <w:shd w:val="clear" w:color="auto" w:fill="FFFFFF"/>
            <w:vAlign w:val="center"/>
          </w:tcPr>
          <w:p w14:paraId="17361D6F">
            <w:pPr>
              <w:pStyle w:val="151"/>
              <w:spacing w:line="240" w:lineRule="auto"/>
              <w:ind w:firstLine="0"/>
              <w:jc w:val="center"/>
              <w:rPr>
                <w:sz w:val="18"/>
                <w:szCs w:val="18"/>
              </w:rPr>
            </w:pPr>
            <w:r>
              <w:rPr>
                <w:rFonts w:hint="eastAsia"/>
                <w:color w:val="000000"/>
                <w:sz w:val="18"/>
                <w:szCs w:val="18"/>
                <w:lang w:val="en-US" w:eastAsia="en-US" w:bidi="en-US"/>
              </w:rPr>
              <w:t>W</w:t>
            </w:r>
          </w:p>
        </w:tc>
      </w:tr>
      <w:tr w14:paraId="1F4DC92E">
        <w:tblPrEx>
          <w:tblCellMar>
            <w:top w:w="0" w:type="dxa"/>
            <w:left w:w="10" w:type="dxa"/>
            <w:bottom w:w="0" w:type="dxa"/>
            <w:right w:w="10" w:type="dxa"/>
          </w:tblCellMar>
        </w:tblPrEx>
        <w:trPr>
          <w:trHeight w:val="360" w:hRule="exact"/>
          <w:jc w:val="center"/>
        </w:trPr>
        <w:tc>
          <w:tcPr>
            <w:tcW w:w="3711" w:type="dxa"/>
            <w:tcBorders>
              <w:top w:val="single" w:color="auto" w:sz="4" w:space="0"/>
              <w:left w:val="single" w:color="auto" w:sz="4" w:space="0"/>
            </w:tcBorders>
            <w:shd w:val="clear" w:color="auto" w:fill="FFFFFF"/>
            <w:vAlign w:val="center"/>
          </w:tcPr>
          <w:p w14:paraId="425252C4">
            <w:pPr>
              <w:pStyle w:val="151"/>
              <w:spacing w:line="240" w:lineRule="auto"/>
              <w:ind w:firstLine="0"/>
              <w:jc w:val="center"/>
              <w:rPr>
                <w:sz w:val="18"/>
                <w:szCs w:val="18"/>
              </w:rPr>
            </w:pPr>
            <w:r>
              <w:rPr>
                <w:rFonts w:hint="eastAsia"/>
                <w:color w:val="000000"/>
                <w:sz w:val="18"/>
                <w:szCs w:val="18"/>
              </w:rPr>
              <w:t>空</w:t>
            </w:r>
          </w:p>
        </w:tc>
        <w:tc>
          <w:tcPr>
            <w:tcW w:w="3655" w:type="dxa"/>
            <w:tcBorders>
              <w:top w:val="single" w:color="auto" w:sz="4" w:space="0"/>
              <w:left w:val="single" w:color="auto" w:sz="4" w:space="0"/>
              <w:right w:val="single" w:color="auto" w:sz="4" w:space="0"/>
            </w:tcBorders>
            <w:shd w:val="clear" w:color="auto" w:fill="FFFFFF"/>
            <w:vAlign w:val="center"/>
          </w:tcPr>
          <w:p w14:paraId="66B37D34">
            <w:pPr>
              <w:pStyle w:val="151"/>
              <w:spacing w:line="240" w:lineRule="auto"/>
              <w:ind w:firstLine="0"/>
              <w:jc w:val="center"/>
              <w:rPr>
                <w:sz w:val="18"/>
                <w:szCs w:val="18"/>
              </w:rPr>
            </w:pPr>
            <w:r>
              <w:rPr>
                <w:rFonts w:hint="eastAsia"/>
                <w:color w:val="000000"/>
                <w:sz w:val="18"/>
                <w:szCs w:val="18"/>
                <w:lang w:val="en-US" w:eastAsia="en-US" w:bidi="en-US"/>
              </w:rPr>
              <w:t>A</w:t>
            </w:r>
          </w:p>
        </w:tc>
      </w:tr>
      <w:tr w14:paraId="0019F2C2">
        <w:tblPrEx>
          <w:tblCellMar>
            <w:top w:w="0" w:type="dxa"/>
            <w:left w:w="10" w:type="dxa"/>
            <w:bottom w:w="0" w:type="dxa"/>
            <w:right w:w="10" w:type="dxa"/>
          </w:tblCellMar>
        </w:tblPrEx>
        <w:trPr>
          <w:trHeight w:val="394" w:hRule="exact"/>
          <w:jc w:val="center"/>
        </w:trPr>
        <w:tc>
          <w:tcPr>
            <w:tcW w:w="3711" w:type="dxa"/>
            <w:tcBorders>
              <w:top w:val="single" w:color="auto" w:sz="4" w:space="0"/>
              <w:left w:val="single" w:color="auto" w:sz="4" w:space="0"/>
              <w:bottom w:val="single" w:color="auto" w:sz="4" w:space="0"/>
            </w:tcBorders>
            <w:shd w:val="clear" w:color="auto" w:fill="FFFFFF"/>
            <w:vAlign w:val="center"/>
          </w:tcPr>
          <w:p w14:paraId="05ABF8BA">
            <w:pPr>
              <w:pStyle w:val="151"/>
              <w:spacing w:line="240" w:lineRule="auto"/>
              <w:ind w:firstLine="0"/>
              <w:jc w:val="center"/>
              <w:rPr>
                <w:sz w:val="18"/>
                <w:szCs w:val="18"/>
              </w:rPr>
            </w:pPr>
            <w:r>
              <w:rPr>
                <w:rFonts w:hint="eastAsia"/>
                <w:color w:val="000000"/>
                <w:sz w:val="18"/>
                <w:szCs w:val="18"/>
              </w:rPr>
              <w:t>两态冷却的液体</w:t>
            </w:r>
          </w:p>
        </w:tc>
        <w:tc>
          <w:tcPr>
            <w:tcW w:w="3655" w:type="dxa"/>
            <w:tcBorders>
              <w:top w:val="single" w:color="auto" w:sz="4" w:space="0"/>
              <w:left w:val="single" w:color="auto" w:sz="4" w:space="0"/>
              <w:bottom w:val="single" w:color="auto" w:sz="4" w:space="0"/>
              <w:right w:val="single" w:color="auto" w:sz="4" w:space="0"/>
            </w:tcBorders>
            <w:shd w:val="clear" w:color="auto" w:fill="FFFFFF"/>
            <w:vAlign w:val="center"/>
          </w:tcPr>
          <w:p w14:paraId="2490F8C3">
            <w:pPr>
              <w:pStyle w:val="151"/>
              <w:spacing w:line="240" w:lineRule="auto"/>
              <w:ind w:firstLine="0"/>
              <w:jc w:val="center"/>
              <w:rPr>
                <w:sz w:val="18"/>
                <w:szCs w:val="18"/>
              </w:rPr>
            </w:pPr>
            <w:r>
              <w:rPr>
                <w:rFonts w:hint="eastAsia"/>
                <w:color w:val="000000"/>
                <w:sz w:val="18"/>
                <w:szCs w:val="18"/>
                <w:lang w:val="en-US" w:eastAsia="en-US" w:bidi="en-US"/>
              </w:rPr>
              <w:t>P</w:t>
            </w:r>
          </w:p>
        </w:tc>
      </w:tr>
    </w:tbl>
    <w:p w14:paraId="5D569D95">
      <w:pPr>
        <w:pStyle w:val="152"/>
        <w:jc w:val="left"/>
        <w:rPr>
          <w:b w:val="0"/>
          <w:bCs w:val="0"/>
          <w:color w:val="000000"/>
          <w:sz w:val="20"/>
          <w:szCs w:val="20"/>
          <w:lang w:bidi="en-US"/>
        </w:rPr>
      </w:pPr>
    </w:p>
    <w:p w14:paraId="2533E738">
      <w:pPr>
        <w:spacing w:after="239" w:line="1" w:lineRule="exact"/>
        <w:rPr>
          <w:rFonts w:ascii="宋体" w:hAnsi="宋体" w:cs="宋体"/>
          <w:szCs w:val="21"/>
        </w:rPr>
      </w:pPr>
    </w:p>
    <w:p w14:paraId="4F648A06">
      <w:pPr>
        <w:pStyle w:val="144"/>
        <w:spacing w:line="360" w:lineRule="auto"/>
        <w:ind w:firstLine="0"/>
        <w:jc w:val="center"/>
        <w:rPr>
          <w:bCs/>
          <w:color w:val="000000"/>
          <w:sz w:val="21"/>
          <w:szCs w:val="21"/>
        </w:rPr>
      </w:pPr>
      <w:r>
        <w:rPr>
          <w:rFonts w:hint="eastAsia"/>
          <w:bCs/>
          <w:color w:val="000000"/>
          <w:sz w:val="21"/>
          <w:szCs w:val="21"/>
        </w:rPr>
        <w:t>表4</w:t>
      </w:r>
      <w:r>
        <w:rPr>
          <w:rFonts w:eastAsia="PMingLiU"/>
          <w:bCs/>
          <w:color w:val="000000"/>
          <w:sz w:val="21"/>
          <w:szCs w:val="21"/>
        </w:rPr>
        <w:t xml:space="preserve"> </w:t>
      </w:r>
      <w:r>
        <w:rPr>
          <w:rFonts w:hint="eastAsia"/>
          <w:bCs/>
          <w:color w:val="000000"/>
          <w:sz w:val="21"/>
          <w:szCs w:val="21"/>
        </w:rPr>
        <w:t>循环方式的标识代号</w:t>
      </w:r>
    </w:p>
    <w:tbl>
      <w:tblPr>
        <w:tblStyle w:val="32"/>
        <w:tblW w:w="0" w:type="auto"/>
        <w:jc w:val="center"/>
        <w:tblLayout w:type="fixed"/>
        <w:tblCellMar>
          <w:top w:w="0" w:type="dxa"/>
          <w:left w:w="10" w:type="dxa"/>
          <w:bottom w:w="0" w:type="dxa"/>
          <w:right w:w="10" w:type="dxa"/>
        </w:tblCellMar>
      </w:tblPr>
      <w:tblGrid>
        <w:gridCol w:w="3437"/>
        <w:gridCol w:w="3934"/>
      </w:tblGrid>
      <w:tr w14:paraId="25DAE3EC">
        <w:tblPrEx>
          <w:tblCellMar>
            <w:top w:w="0" w:type="dxa"/>
            <w:left w:w="10" w:type="dxa"/>
            <w:bottom w:w="0" w:type="dxa"/>
            <w:right w:w="10" w:type="dxa"/>
          </w:tblCellMar>
        </w:tblPrEx>
        <w:trPr>
          <w:trHeight w:val="374" w:hRule="exact"/>
          <w:jc w:val="center"/>
        </w:trPr>
        <w:tc>
          <w:tcPr>
            <w:tcW w:w="3437" w:type="dxa"/>
            <w:tcBorders>
              <w:top w:val="single" w:color="auto" w:sz="4" w:space="0"/>
              <w:left w:val="single" w:color="auto" w:sz="4" w:space="0"/>
            </w:tcBorders>
            <w:shd w:val="clear" w:color="auto" w:fill="FFFFFF"/>
            <w:vAlign w:val="center"/>
          </w:tcPr>
          <w:p w14:paraId="6EF13D81">
            <w:pPr>
              <w:pStyle w:val="151"/>
              <w:spacing w:line="240" w:lineRule="auto"/>
              <w:ind w:firstLine="0"/>
              <w:jc w:val="center"/>
              <w:rPr>
                <w:sz w:val="18"/>
                <w:szCs w:val="18"/>
              </w:rPr>
            </w:pPr>
            <w:r>
              <w:rPr>
                <w:rFonts w:hint="eastAsia"/>
                <w:color w:val="000000"/>
                <w:sz w:val="18"/>
                <w:szCs w:val="18"/>
              </w:rPr>
              <w:t>循环方式</w:t>
            </w:r>
          </w:p>
        </w:tc>
        <w:tc>
          <w:tcPr>
            <w:tcW w:w="3934" w:type="dxa"/>
            <w:tcBorders>
              <w:top w:val="single" w:color="auto" w:sz="4" w:space="0"/>
              <w:left w:val="single" w:color="auto" w:sz="4" w:space="0"/>
              <w:right w:val="single" w:color="auto" w:sz="4" w:space="0"/>
            </w:tcBorders>
            <w:shd w:val="clear" w:color="auto" w:fill="FFFFFF"/>
            <w:vAlign w:val="center"/>
          </w:tcPr>
          <w:p w14:paraId="26A7483A">
            <w:pPr>
              <w:pStyle w:val="151"/>
              <w:spacing w:line="240" w:lineRule="auto"/>
              <w:ind w:firstLine="0"/>
              <w:jc w:val="center"/>
              <w:rPr>
                <w:sz w:val="18"/>
                <w:szCs w:val="18"/>
              </w:rPr>
            </w:pPr>
            <w:r>
              <w:rPr>
                <w:rFonts w:hint="eastAsia"/>
                <w:color w:val="000000"/>
                <w:sz w:val="18"/>
                <w:szCs w:val="18"/>
              </w:rPr>
              <w:t>标识代号</w:t>
            </w:r>
          </w:p>
        </w:tc>
      </w:tr>
      <w:tr w14:paraId="3D985EAA">
        <w:tblPrEx>
          <w:tblCellMar>
            <w:top w:w="0" w:type="dxa"/>
            <w:left w:w="10" w:type="dxa"/>
            <w:bottom w:w="0" w:type="dxa"/>
            <w:right w:w="10" w:type="dxa"/>
          </w:tblCellMar>
        </w:tblPrEx>
        <w:trPr>
          <w:trHeight w:val="365" w:hRule="exact"/>
          <w:jc w:val="center"/>
        </w:trPr>
        <w:tc>
          <w:tcPr>
            <w:tcW w:w="3437" w:type="dxa"/>
            <w:tcBorders>
              <w:top w:val="single" w:color="auto" w:sz="4" w:space="0"/>
              <w:left w:val="single" w:color="auto" w:sz="4" w:space="0"/>
            </w:tcBorders>
            <w:shd w:val="clear" w:color="auto" w:fill="FFFFFF"/>
            <w:vAlign w:val="center"/>
          </w:tcPr>
          <w:p w14:paraId="57276E5B">
            <w:pPr>
              <w:pStyle w:val="151"/>
              <w:spacing w:line="240" w:lineRule="auto"/>
              <w:ind w:firstLine="0"/>
              <w:jc w:val="center"/>
              <w:rPr>
                <w:sz w:val="18"/>
                <w:szCs w:val="18"/>
              </w:rPr>
            </w:pPr>
            <w:r>
              <w:rPr>
                <w:rFonts w:hint="eastAsia"/>
                <w:color w:val="000000"/>
                <w:sz w:val="18"/>
                <w:szCs w:val="18"/>
              </w:rPr>
              <w:t>自然（対流）</w:t>
            </w:r>
          </w:p>
        </w:tc>
        <w:tc>
          <w:tcPr>
            <w:tcW w:w="3934" w:type="dxa"/>
            <w:tcBorders>
              <w:top w:val="single" w:color="auto" w:sz="4" w:space="0"/>
              <w:left w:val="single" w:color="auto" w:sz="4" w:space="0"/>
              <w:right w:val="single" w:color="auto" w:sz="4" w:space="0"/>
            </w:tcBorders>
            <w:shd w:val="clear" w:color="auto" w:fill="FFFFFF"/>
            <w:vAlign w:val="center"/>
          </w:tcPr>
          <w:p w14:paraId="4C3810F1">
            <w:pPr>
              <w:pStyle w:val="151"/>
              <w:spacing w:line="240" w:lineRule="auto"/>
              <w:ind w:firstLine="0"/>
              <w:jc w:val="center"/>
              <w:rPr>
                <w:sz w:val="18"/>
                <w:szCs w:val="18"/>
                <w:lang w:eastAsia="zh-CN"/>
              </w:rPr>
            </w:pPr>
            <w:r>
              <w:rPr>
                <w:rFonts w:hint="eastAsia"/>
                <w:color w:val="000000"/>
                <w:sz w:val="18"/>
                <w:szCs w:val="18"/>
                <w:lang w:val="en-US" w:eastAsia="zh-CN"/>
              </w:rPr>
              <w:t>N</w:t>
            </w:r>
          </w:p>
        </w:tc>
      </w:tr>
      <w:tr w14:paraId="35FFCB22">
        <w:tblPrEx>
          <w:tblCellMar>
            <w:top w:w="0" w:type="dxa"/>
            <w:left w:w="10" w:type="dxa"/>
            <w:bottom w:w="0" w:type="dxa"/>
            <w:right w:w="10" w:type="dxa"/>
          </w:tblCellMar>
        </w:tblPrEx>
        <w:trPr>
          <w:trHeight w:val="365" w:hRule="exact"/>
          <w:jc w:val="center"/>
        </w:trPr>
        <w:tc>
          <w:tcPr>
            <w:tcW w:w="3437" w:type="dxa"/>
            <w:tcBorders>
              <w:top w:val="single" w:color="auto" w:sz="4" w:space="0"/>
              <w:left w:val="single" w:color="auto" w:sz="4" w:space="0"/>
            </w:tcBorders>
            <w:shd w:val="clear" w:color="auto" w:fill="FFFFFF"/>
            <w:vAlign w:val="center"/>
          </w:tcPr>
          <w:p w14:paraId="7BA0DCC0">
            <w:pPr>
              <w:pStyle w:val="151"/>
              <w:spacing w:line="240" w:lineRule="auto"/>
              <w:ind w:firstLine="0"/>
              <w:jc w:val="center"/>
              <w:rPr>
                <w:sz w:val="18"/>
                <w:szCs w:val="18"/>
              </w:rPr>
            </w:pPr>
            <w:r>
              <w:rPr>
                <w:rFonts w:hint="eastAsia"/>
                <w:color w:val="000000"/>
                <w:sz w:val="18"/>
                <w:szCs w:val="18"/>
              </w:rPr>
              <w:t>强迫（</w:t>
            </w:r>
            <w:r>
              <w:rPr>
                <w:rFonts w:hint="eastAsia"/>
                <w:color w:val="000000"/>
                <w:sz w:val="18"/>
                <w:szCs w:val="18"/>
                <w:lang w:eastAsia="zh-CN"/>
              </w:rPr>
              <w:t>未</w:t>
            </w:r>
            <w:r>
              <w:rPr>
                <w:rFonts w:hint="eastAsia"/>
                <w:color w:val="000000"/>
                <w:sz w:val="18"/>
                <w:szCs w:val="18"/>
              </w:rPr>
              <w:t>配置循环装胃）</w:t>
            </w:r>
          </w:p>
        </w:tc>
        <w:tc>
          <w:tcPr>
            <w:tcW w:w="3934" w:type="dxa"/>
            <w:tcBorders>
              <w:top w:val="single" w:color="auto" w:sz="4" w:space="0"/>
              <w:left w:val="single" w:color="auto" w:sz="4" w:space="0"/>
              <w:right w:val="single" w:color="auto" w:sz="4" w:space="0"/>
            </w:tcBorders>
            <w:shd w:val="clear" w:color="auto" w:fill="FFFFFF"/>
            <w:vAlign w:val="center"/>
          </w:tcPr>
          <w:p w14:paraId="3F6A5979">
            <w:pPr>
              <w:pStyle w:val="151"/>
              <w:spacing w:line="240" w:lineRule="auto"/>
              <w:ind w:firstLine="0"/>
              <w:jc w:val="center"/>
              <w:rPr>
                <w:sz w:val="18"/>
                <w:szCs w:val="18"/>
              </w:rPr>
            </w:pPr>
            <w:r>
              <w:rPr>
                <w:rFonts w:hint="eastAsia"/>
                <w:color w:val="000000"/>
                <w:sz w:val="18"/>
                <w:szCs w:val="18"/>
                <w:lang w:val="en-US" w:eastAsia="en-US" w:bidi="en-US"/>
              </w:rPr>
              <w:t>E</w:t>
            </w:r>
          </w:p>
        </w:tc>
      </w:tr>
      <w:tr w14:paraId="05A83253">
        <w:tblPrEx>
          <w:tblCellMar>
            <w:top w:w="0" w:type="dxa"/>
            <w:left w:w="10" w:type="dxa"/>
            <w:bottom w:w="0" w:type="dxa"/>
            <w:right w:w="10" w:type="dxa"/>
          </w:tblCellMar>
        </w:tblPrEx>
        <w:trPr>
          <w:trHeight w:val="365" w:hRule="exact"/>
          <w:jc w:val="center"/>
        </w:trPr>
        <w:tc>
          <w:tcPr>
            <w:tcW w:w="3437" w:type="dxa"/>
            <w:tcBorders>
              <w:top w:val="single" w:color="auto" w:sz="4" w:space="0"/>
              <w:left w:val="single" w:color="auto" w:sz="4" w:space="0"/>
            </w:tcBorders>
            <w:shd w:val="clear" w:color="auto" w:fill="FFFFFF"/>
            <w:vAlign w:val="center"/>
          </w:tcPr>
          <w:p w14:paraId="5371135B">
            <w:pPr>
              <w:pStyle w:val="151"/>
              <w:spacing w:line="240" w:lineRule="auto"/>
              <w:ind w:firstLine="0"/>
              <w:jc w:val="center"/>
              <w:rPr>
                <w:sz w:val="18"/>
                <w:szCs w:val="18"/>
              </w:rPr>
            </w:pPr>
            <w:r>
              <w:rPr>
                <w:rFonts w:hint="eastAsia"/>
                <w:color w:val="000000"/>
                <w:sz w:val="18"/>
                <w:szCs w:val="18"/>
              </w:rPr>
              <w:t>强</w:t>
            </w:r>
            <w:r>
              <w:rPr>
                <w:rFonts w:hint="eastAsia"/>
                <w:color w:val="000000"/>
                <w:sz w:val="18"/>
                <w:szCs w:val="18"/>
                <w:lang w:eastAsia="zh-CN"/>
              </w:rPr>
              <w:t>迫</w:t>
            </w:r>
            <w:r>
              <w:rPr>
                <w:rFonts w:hint="eastAsia"/>
                <w:color w:val="000000"/>
                <w:sz w:val="18"/>
                <w:szCs w:val="18"/>
              </w:rPr>
              <w:t>（配置循环装置）</w:t>
            </w:r>
          </w:p>
        </w:tc>
        <w:tc>
          <w:tcPr>
            <w:tcW w:w="3934" w:type="dxa"/>
            <w:tcBorders>
              <w:top w:val="single" w:color="auto" w:sz="4" w:space="0"/>
              <w:left w:val="single" w:color="auto" w:sz="4" w:space="0"/>
              <w:right w:val="single" w:color="auto" w:sz="4" w:space="0"/>
            </w:tcBorders>
            <w:shd w:val="clear" w:color="auto" w:fill="FFFFFF"/>
            <w:vAlign w:val="center"/>
          </w:tcPr>
          <w:p w14:paraId="17EB0541">
            <w:pPr>
              <w:pStyle w:val="151"/>
              <w:spacing w:line="240" w:lineRule="auto"/>
              <w:ind w:firstLine="0"/>
              <w:jc w:val="center"/>
              <w:rPr>
                <w:sz w:val="18"/>
                <w:szCs w:val="18"/>
              </w:rPr>
            </w:pPr>
            <w:r>
              <w:rPr>
                <w:rFonts w:hint="eastAsia"/>
                <w:color w:val="000000"/>
                <w:sz w:val="18"/>
                <w:szCs w:val="18"/>
                <w:lang w:val="en-US" w:eastAsia="en-US" w:bidi="en-US"/>
              </w:rPr>
              <w:t>F</w:t>
            </w:r>
          </w:p>
        </w:tc>
      </w:tr>
      <w:tr w14:paraId="26BE1230">
        <w:tblPrEx>
          <w:tblCellMar>
            <w:top w:w="0" w:type="dxa"/>
            <w:left w:w="10" w:type="dxa"/>
            <w:bottom w:w="0" w:type="dxa"/>
            <w:right w:w="10" w:type="dxa"/>
          </w:tblCellMar>
        </w:tblPrEx>
        <w:trPr>
          <w:trHeight w:val="374" w:hRule="exact"/>
          <w:jc w:val="center"/>
        </w:trPr>
        <w:tc>
          <w:tcPr>
            <w:tcW w:w="3437" w:type="dxa"/>
            <w:tcBorders>
              <w:top w:val="single" w:color="auto" w:sz="4" w:space="0"/>
              <w:left w:val="single" w:color="auto" w:sz="4" w:space="0"/>
              <w:bottom w:val="single" w:color="auto" w:sz="4" w:space="0"/>
            </w:tcBorders>
            <w:shd w:val="clear" w:color="auto" w:fill="FFFFFF"/>
            <w:vAlign w:val="center"/>
          </w:tcPr>
          <w:p w14:paraId="14900389">
            <w:pPr>
              <w:pStyle w:val="151"/>
              <w:spacing w:line="240" w:lineRule="auto"/>
              <w:ind w:firstLine="0"/>
              <w:jc w:val="center"/>
              <w:rPr>
                <w:sz w:val="18"/>
                <w:szCs w:val="18"/>
              </w:rPr>
            </w:pPr>
            <w:r>
              <w:rPr>
                <w:rFonts w:hint="eastAsia"/>
                <w:color w:val="000000"/>
                <w:sz w:val="18"/>
                <w:szCs w:val="18"/>
              </w:rPr>
              <w:t>蒸发冷却</w:t>
            </w:r>
          </w:p>
        </w:tc>
        <w:tc>
          <w:tcPr>
            <w:tcW w:w="3934" w:type="dxa"/>
            <w:tcBorders>
              <w:top w:val="single" w:color="auto" w:sz="4" w:space="0"/>
              <w:left w:val="single" w:color="auto" w:sz="4" w:space="0"/>
              <w:bottom w:val="single" w:color="auto" w:sz="4" w:space="0"/>
              <w:right w:val="single" w:color="auto" w:sz="4" w:space="0"/>
            </w:tcBorders>
            <w:shd w:val="clear" w:color="auto" w:fill="FFFFFF"/>
            <w:vAlign w:val="center"/>
          </w:tcPr>
          <w:p w14:paraId="60E58724">
            <w:pPr>
              <w:pStyle w:val="151"/>
              <w:spacing w:line="240" w:lineRule="auto"/>
              <w:ind w:firstLine="0"/>
              <w:jc w:val="center"/>
              <w:rPr>
                <w:sz w:val="18"/>
                <w:szCs w:val="18"/>
                <w:lang w:eastAsia="zh-CN"/>
              </w:rPr>
            </w:pPr>
            <w:r>
              <w:rPr>
                <w:rFonts w:hint="eastAsia"/>
                <w:color w:val="000000"/>
                <w:sz w:val="18"/>
                <w:szCs w:val="18"/>
                <w:lang w:val="en-US" w:eastAsia="zh-CN"/>
              </w:rPr>
              <w:t>V</w:t>
            </w:r>
          </w:p>
        </w:tc>
      </w:tr>
    </w:tbl>
    <w:p w14:paraId="14FDE011">
      <w:pPr>
        <w:spacing w:after="419" w:line="1" w:lineRule="exact"/>
        <w:rPr>
          <w:rFonts w:ascii="宋体" w:hAnsi="宋体" w:cs="宋体"/>
        </w:rPr>
      </w:pPr>
    </w:p>
    <w:p w14:paraId="428EEF85">
      <w:pPr>
        <w:pStyle w:val="46"/>
        <w:spacing w:before="156" w:after="156"/>
        <w:ind w:left="0"/>
        <w:rPr>
          <w:lang w:val="zh-TW" w:eastAsia="zh-TW" w:bidi="zh-TW"/>
        </w:rPr>
      </w:pPr>
      <w:r>
        <w:rPr>
          <w:rFonts w:hint="eastAsia"/>
          <w:lang w:val="zh-TW" w:eastAsia="zh-TW" w:bidi="zh-TW"/>
        </w:rPr>
        <w:t>直接冷却方式的标识代号</w:t>
      </w:r>
    </w:p>
    <w:p w14:paraId="1D38F76D">
      <w:pPr>
        <w:pStyle w:val="144"/>
        <w:spacing w:line="240" w:lineRule="auto"/>
        <w:ind w:firstLine="420" w:firstLineChars="200"/>
        <w:jc w:val="left"/>
        <w:rPr>
          <w:sz w:val="21"/>
          <w:szCs w:val="21"/>
          <w:lang w:val="en-US" w:eastAsia="zh-CN"/>
        </w:rPr>
      </w:pPr>
      <w:r>
        <w:rPr>
          <w:rFonts w:hint="eastAsia"/>
          <w:color w:val="000000"/>
          <w:sz w:val="21"/>
          <w:szCs w:val="21"/>
        </w:rPr>
        <w:t>直接冷却方式的标识代号为两个字母。第一个字母表示冷却媒质</w:t>
      </w:r>
      <w:r>
        <w:rPr>
          <w:rFonts w:hint="eastAsia"/>
          <w:color w:val="000000"/>
          <w:sz w:val="21"/>
          <w:szCs w:val="21"/>
          <w:lang w:val="en-US" w:eastAsia="zh-CN" w:bidi="en-US"/>
        </w:rPr>
        <w:t>，</w:t>
      </w:r>
      <w:r>
        <w:rPr>
          <w:rFonts w:hint="eastAsia"/>
          <w:color w:val="000000"/>
          <w:sz w:val="21"/>
          <w:szCs w:val="21"/>
        </w:rPr>
        <w:t>第二个字母表示循环方式。</w:t>
      </w:r>
      <w:r>
        <w:rPr>
          <w:rFonts w:hint="eastAsia"/>
          <w:color w:val="000000"/>
          <w:sz w:val="21"/>
          <w:szCs w:val="21"/>
          <w:lang w:eastAsia="zh-CN"/>
        </w:rPr>
        <w:t>如</w:t>
      </w:r>
      <w:r>
        <w:rPr>
          <w:rFonts w:hint="eastAsia"/>
          <w:color w:val="000000"/>
          <w:sz w:val="21"/>
          <w:szCs w:val="21"/>
          <w:lang w:val="en-US" w:eastAsia="zh-CN"/>
        </w:rPr>
        <w:t>AN代表空气冷却，自然对流。</w:t>
      </w:r>
    </w:p>
    <w:p w14:paraId="75D14FD9">
      <w:pPr>
        <w:pStyle w:val="46"/>
        <w:spacing w:before="156" w:after="156"/>
        <w:ind w:left="0"/>
        <w:rPr>
          <w:lang w:val="zh-TW" w:eastAsia="zh-TW" w:bidi="zh-TW"/>
        </w:rPr>
      </w:pPr>
      <w:r>
        <w:rPr>
          <w:rFonts w:hint="eastAsia"/>
          <w:lang w:val="zh-TW" w:eastAsia="zh-TW" w:bidi="zh-TW"/>
        </w:rPr>
        <w:t>间接冷却方式的标识代号</w:t>
      </w:r>
    </w:p>
    <w:p w14:paraId="75E2ECCD">
      <w:pPr>
        <w:pStyle w:val="144"/>
        <w:spacing w:line="240" w:lineRule="auto"/>
        <w:ind w:firstLine="420" w:firstLineChars="200"/>
        <w:jc w:val="left"/>
        <w:rPr>
          <w:sz w:val="21"/>
          <w:szCs w:val="21"/>
          <w:lang w:val="en-US" w:eastAsia="zh-CN"/>
        </w:rPr>
      </w:pPr>
      <w:r>
        <w:rPr>
          <w:rFonts w:hint="eastAsia"/>
          <w:color w:val="000000"/>
          <w:sz w:val="21"/>
          <w:szCs w:val="21"/>
        </w:rPr>
        <w:t>间接冷却方式的标识代号为</w:t>
      </w:r>
      <w:r>
        <w:rPr>
          <w:rFonts w:hint="eastAsia"/>
          <w:color w:val="000000"/>
          <w:sz w:val="21"/>
          <w:szCs w:val="21"/>
          <w:lang w:val="en-US" w:eastAsia="zh-CN"/>
        </w:rPr>
        <w:t>4</w:t>
      </w:r>
      <w:r>
        <w:rPr>
          <w:rFonts w:hint="eastAsia"/>
          <w:color w:val="000000"/>
          <w:sz w:val="21"/>
          <w:szCs w:val="21"/>
        </w:rPr>
        <w:t>个字母。前两个字母对应于热转移媒质</w:t>
      </w:r>
      <w:r>
        <w:rPr>
          <w:rFonts w:hint="eastAsia"/>
          <w:color w:val="000000"/>
          <w:sz w:val="21"/>
          <w:szCs w:val="21"/>
          <w:lang w:val="en-US" w:eastAsia="zh-CN" w:bidi="en-US"/>
        </w:rPr>
        <w:t>，</w:t>
      </w:r>
      <w:r>
        <w:rPr>
          <w:rFonts w:hint="eastAsia"/>
          <w:color w:val="000000"/>
          <w:sz w:val="21"/>
          <w:szCs w:val="21"/>
        </w:rPr>
        <w:t>后两个字母对应于冷却媒质。</w:t>
      </w:r>
      <w:r>
        <w:rPr>
          <w:rFonts w:hint="eastAsia"/>
          <w:color w:val="000000"/>
          <w:sz w:val="21"/>
          <w:szCs w:val="21"/>
          <w:lang w:eastAsia="zh-CN"/>
        </w:rPr>
        <w:t>如</w:t>
      </w:r>
      <w:r>
        <w:rPr>
          <w:rFonts w:hint="eastAsia"/>
          <w:color w:val="000000"/>
          <w:sz w:val="21"/>
          <w:szCs w:val="21"/>
          <w:lang w:val="en-US" w:eastAsia="zh-CN"/>
        </w:rPr>
        <w:t>WF/AN代表热转移媒质为水，采用强迫循环的方式，冷却媒质为空气采用自然的方式。</w:t>
      </w:r>
    </w:p>
    <w:p w14:paraId="7E45E18C">
      <w:pPr>
        <w:pStyle w:val="46"/>
        <w:spacing w:before="156" w:after="156"/>
        <w:ind w:left="0"/>
        <w:rPr>
          <w:lang w:val="zh-TW" w:eastAsia="zh-TW" w:bidi="zh-TW"/>
        </w:rPr>
      </w:pPr>
      <w:r>
        <w:rPr>
          <w:rFonts w:hint="eastAsia"/>
          <w:lang w:val="zh-TW" w:eastAsia="zh-TW" w:bidi="zh-TW"/>
        </w:rPr>
        <w:t>混合冷却方式的标识代号</w:t>
      </w:r>
    </w:p>
    <w:p w14:paraId="3C61B9EE">
      <w:pPr>
        <w:pStyle w:val="144"/>
        <w:spacing w:line="240" w:lineRule="auto"/>
        <w:ind w:firstLine="420" w:firstLineChars="200"/>
        <w:jc w:val="left"/>
        <w:rPr>
          <w:color w:val="000000"/>
          <w:sz w:val="21"/>
          <w:szCs w:val="21"/>
          <w:lang w:val="en-US" w:eastAsia="zh-CN"/>
        </w:rPr>
      </w:pPr>
      <w:r>
        <w:rPr>
          <w:rFonts w:hint="eastAsia"/>
          <w:color w:val="000000"/>
          <w:sz w:val="21"/>
          <w:szCs w:val="21"/>
        </w:rPr>
        <w:t>对于直接冷却或间接冷却两种情形</w:t>
      </w:r>
      <w:r>
        <w:rPr>
          <w:rFonts w:hint="eastAsia"/>
          <w:color w:val="000000"/>
          <w:sz w:val="21"/>
          <w:szCs w:val="21"/>
          <w:lang w:eastAsia="zh-CN"/>
        </w:rPr>
        <w:t>，</w:t>
      </w:r>
      <w:r>
        <w:rPr>
          <w:rFonts w:hint="eastAsia"/>
          <w:color w:val="000000"/>
          <w:sz w:val="21"/>
          <w:szCs w:val="21"/>
        </w:rPr>
        <w:t>如果交替采用自然循环或强迫循环两种方式</w:t>
      </w:r>
      <w:r>
        <w:rPr>
          <w:rFonts w:hint="eastAsia"/>
          <w:color w:val="000000"/>
          <w:sz w:val="21"/>
          <w:szCs w:val="21"/>
          <w:lang w:eastAsia="zh-CN"/>
        </w:rPr>
        <w:t>，</w:t>
      </w:r>
      <w:r>
        <w:rPr>
          <w:rFonts w:hint="eastAsia"/>
          <w:color w:val="000000"/>
          <w:sz w:val="21"/>
          <w:szCs w:val="21"/>
        </w:rPr>
        <w:t>应以斜线隔开的两组字母表示采用的两种循环方式</w:t>
      </w:r>
      <w:r>
        <w:rPr>
          <w:rFonts w:hint="eastAsia"/>
          <w:color w:val="000000"/>
          <w:sz w:val="21"/>
          <w:szCs w:val="21"/>
          <w:lang w:eastAsia="zh-CN"/>
        </w:rPr>
        <w:t>，</w:t>
      </w:r>
      <w:r>
        <w:rPr>
          <w:rFonts w:hint="eastAsia"/>
          <w:color w:val="000000"/>
          <w:sz w:val="21"/>
          <w:szCs w:val="21"/>
        </w:rPr>
        <w:t>斜线前的一组字母对应于较小的热流或较低的环境温度</w:t>
      </w:r>
      <w:r>
        <w:rPr>
          <w:rFonts w:hint="eastAsia"/>
          <w:color w:val="000000"/>
          <w:sz w:val="21"/>
          <w:szCs w:val="21"/>
          <w:lang w:eastAsia="zh-CN"/>
        </w:rPr>
        <w:t>，即</w:t>
      </w:r>
      <w:r>
        <w:rPr>
          <w:rFonts w:hint="eastAsia"/>
          <w:color w:val="000000"/>
          <w:sz w:val="21"/>
          <w:szCs w:val="21"/>
        </w:rPr>
        <w:t>混合冷却方式的标识代号为采用的各种冷却方式的标识代号辅之以将二者隔开的斜线。</w:t>
      </w:r>
      <w:r>
        <w:rPr>
          <w:rFonts w:hint="eastAsia"/>
          <w:color w:val="000000"/>
          <w:sz w:val="21"/>
          <w:szCs w:val="21"/>
          <w:lang w:eastAsia="zh-CN"/>
        </w:rPr>
        <w:t>如直接冷却</w:t>
      </w:r>
      <w:r>
        <w:rPr>
          <w:rFonts w:hint="eastAsia"/>
          <w:color w:val="000000"/>
          <w:sz w:val="21"/>
          <w:szCs w:val="21"/>
          <w:lang w:val="en-US" w:eastAsia="zh-CN"/>
        </w:rPr>
        <w:t>AN/AF交替使用空气直接自然冷却和空气直接强迫冷却；间接冷却OFAN/OFAF交替使用热转移媒质为矿物油强迫循环、冷却媒质为空气自然冷却的间接冷却和热转移媒质为矿物油强迫循环、冷却媒质为空气强迫循环的间接冷却。</w:t>
      </w:r>
    </w:p>
    <w:p w14:paraId="596535FF">
      <w:pPr>
        <w:pStyle w:val="45"/>
        <w:numPr>
          <w:ilvl w:val="0"/>
          <w:numId w:val="2"/>
        </w:numPr>
        <w:spacing w:before="312" w:after="312"/>
      </w:pPr>
      <w:bookmarkStart w:id="48" w:name="_Toc123130252"/>
      <w:bookmarkStart w:id="49" w:name="_Toc8373"/>
      <w:r>
        <w:rPr>
          <w:rFonts w:hint="eastAsia"/>
        </w:rPr>
        <w:t>技术</w:t>
      </w:r>
      <w:r>
        <w:t>参数及</w:t>
      </w:r>
      <w:r>
        <w:rPr>
          <w:rFonts w:hint="eastAsia"/>
        </w:rPr>
        <w:t>性能要求</w:t>
      </w:r>
      <w:bookmarkEnd w:id="48"/>
    </w:p>
    <w:p w14:paraId="5A94C521">
      <w:pPr>
        <w:pStyle w:val="45"/>
        <w:numPr>
          <w:ilvl w:val="1"/>
          <w:numId w:val="2"/>
        </w:numPr>
        <w:adjustRightInd w:val="0"/>
        <w:snapToGrid w:val="0"/>
        <w:spacing w:before="156" w:beforeLines="50" w:after="156" w:afterLines="50"/>
        <w:ind w:left="0"/>
        <w:outlineLvl w:val="2"/>
      </w:pPr>
      <w:bookmarkStart w:id="50" w:name="_Toc123130253"/>
      <w:r>
        <w:rPr>
          <w:rFonts w:hint="eastAsia"/>
        </w:rPr>
        <w:t>额定电流</w:t>
      </w:r>
      <w:bookmarkEnd w:id="49"/>
      <w:bookmarkEnd w:id="50"/>
    </w:p>
    <w:p w14:paraId="543AE325">
      <w:pPr>
        <w:pStyle w:val="144"/>
        <w:spacing w:line="240" w:lineRule="auto"/>
        <w:ind w:firstLine="420" w:firstLineChars="200"/>
        <w:jc w:val="left"/>
        <w:rPr>
          <w:color w:val="000000"/>
          <w:sz w:val="21"/>
          <w:szCs w:val="21"/>
          <w:lang w:val="en-US" w:eastAsia="zh-CN"/>
        </w:rPr>
      </w:pPr>
      <w:r>
        <w:rPr>
          <w:rFonts w:hint="eastAsia"/>
          <w:color w:val="000000"/>
          <w:sz w:val="21"/>
          <w:szCs w:val="21"/>
          <w:lang w:val="en-US" w:eastAsia="zh-CN"/>
        </w:rPr>
        <w:t>开关设备和控制设备的额定电流是在规定的使用和性能条件下，开关设备和控制设备应能够持续承载的电流的有效值，温升不超过表6规定。</w:t>
      </w:r>
    </w:p>
    <w:p w14:paraId="246554D6">
      <w:pPr>
        <w:pStyle w:val="144"/>
        <w:spacing w:line="240" w:lineRule="auto"/>
        <w:ind w:firstLine="420" w:firstLineChars="200"/>
        <w:jc w:val="left"/>
        <w:rPr>
          <w:color w:val="000000"/>
          <w:sz w:val="21"/>
          <w:szCs w:val="21"/>
          <w:lang w:val="en-US" w:eastAsia="zh-CN"/>
        </w:rPr>
      </w:pPr>
      <w:r>
        <w:rPr>
          <w:rFonts w:hint="eastAsia"/>
          <w:color w:val="000000"/>
          <w:sz w:val="21"/>
          <w:szCs w:val="21"/>
          <w:lang w:val="en-US" w:eastAsia="zh-CN"/>
        </w:rPr>
        <w:t>额定电流应当从GB/T</w:t>
      </w:r>
      <w:r>
        <w:rPr>
          <w:color w:val="000000"/>
          <w:sz w:val="21"/>
          <w:szCs w:val="21"/>
          <w:lang w:val="en-US" w:eastAsia="zh-CN"/>
        </w:rPr>
        <w:t xml:space="preserve"> </w:t>
      </w:r>
      <w:r>
        <w:rPr>
          <w:rFonts w:hint="eastAsia"/>
          <w:color w:val="000000"/>
          <w:sz w:val="21"/>
          <w:szCs w:val="21"/>
          <w:lang w:val="en-US" w:eastAsia="zh-CN"/>
        </w:rPr>
        <w:t>762-2002规定的R10系列中选取</w:t>
      </w:r>
    </w:p>
    <w:p w14:paraId="4964317D">
      <w:pPr>
        <w:pStyle w:val="144"/>
        <w:spacing w:line="240" w:lineRule="auto"/>
        <w:ind w:firstLine="360" w:firstLineChars="200"/>
        <w:jc w:val="left"/>
        <w:rPr>
          <w:color w:val="000000"/>
          <w:sz w:val="21"/>
          <w:szCs w:val="21"/>
          <w:lang w:val="en-US" w:eastAsia="zh-CN"/>
        </w:rPr>
      </w:pPr>
      <w:r>
        <w:rPr>
          <w:rFonts w:hint="eastAsia"/>
          <w:color w:val="000000"/>
          <w:sz w:val="18"/>
          <w:szCs w:val="18"/>
          <w:lang w:eastAsia="zh-CN"/>
        </w:rPr>
        <w:t>注：R10系列包括数字1-1.25-1.6-2-2.5-3.15-4-5-6.3-8及其与10</w:t>
      </w:r>
      <w:r>
        <w:rPr>
          <w:rFonts w:hint="eastAsia"/>
          <w:color w:val="000000"/>
          <w:sz w:val="18"/>
          <w:szCs w:val="18"/>
          <w:vertAlign w:val="superscript"/>
          <w:lang w:eastAsia="zh-CN"/>
        </w:rPr>
        <w:t>n</w:t>
      </w:r>
      <w:r>
        <w:rPr>
          <w:rFonts w:hint="eastAsia"/>
          <w:color w:val="000000"/>
          <w:sz w:val="18"/>
          <w:szCs w:val="18"/>
          <w:lang w:eastAsia="zh-CN"/>
        </w:rPr>
        <w:t>的乘积。</w:t>
      </w:r>
    </w:p>
    <w:p w14:paraId="1B0AA75E">
      <w:pPr>
        <w:pStyle w:val="45"/>
        <w:numPr>
          <w:ilvl w:val="1"/>
          <w:numId w:val="2"/>
        </w:numPr>
        <w:adjustRightInd w:val="0"/>
        <w:snapToGrid w:val="0"/>
        <w:spacing w:before="156" w:beforeLines="50" w:after="156" w:afterLines="50"/>
        <w:ind w:left="0"/>
        <w:outlineLvl w:val="2"/>
      </w:pPr>
      <w:bookmarkStart w:id="51" w:name="_Toc123130254"/>
      <w:bookmarkStart w:id="52" w:name="_Toc9935"/>
      <w:r>
        <w:rPr>
          <w:rFonts w:hint="eastAsia"/>
        </w:rPr>
        <w:t>额定电压</w:t>
      </w:r>
      <w:bookmarkEnd w:id="51"/>
      <w:bookmarkEnd w:id="52"/>
    </w:p>
    <w:p w14:paraId="3ABF5EE3">
      <w:pPr>
        <w:pStyle w:val="146"/>
        <w:spacing w:after="240" w:line="314" w:lineRule="exact"/>
        <w:ind w:firstLine="464" w:firstLineChars="221"/>
        <w:jc w:val="left"/>
        <w:rPr>
          <w:color w:val="000000"/>
          <w:sz w:val="21"/>
          <w:szCs w:val="21"/>
          <w:lang w:val="en-US" w:eastAsia="zh-CN"/>
        </w:rPr>
      </w:pPr>
      <w:r>
        <w:rPr>
          <w:rFonts w:hint="eastAsia"/>
          <w:color w:val="000000"/>
          <w:sz w:val="21"/>
          <w:szCs w:val="21"/>
          <w:lang w:val="en-US" w:eastAsia="zh-CN"/>
        </w:rPr>
        <w:t>额定电压等于开关设备和控制设备所在系统的最高电压。它表示设备用于的电网或系统的最高电压。本标准所述额定电压包含3.6</w:t>
      </w:r>
      <w:r>
        <w:rPr>
          <w:color w:val="000000"/>
          <w:sz w:val="21"/>
          <w:szCs w:val="21"/>
          <w:lang w:val="en-US" w:eastAsia="zh-CN"/>
        </w:rPr>
        <w:t xml:space="preserve"> </w:t>
      </w:r>
      <w:r>
        <w:rPr>
          <w:rFonts w:hint="eastAsia"/>
          <w:color w:val="000000"/>
          <w:sz w:val="21"/>
          <w:szCs w:val="21"/>
          <w:lang w:val="en-US" w:eastAsia="zh-CN"/>
        </w:rPr>
        <w:t>kV，7.2</w:t>
      </w:r>
      <w:r>
        <w:rPr>
          <w:color w:val="000000"/>
          <w:sz w:val="21"/>
          <w:szCs w:val="21"/>
          <w:lang w:val="en-US" w:eastAsia="zh-CN"/>
        </w:rPr>
        <w:t xml:space="preserve"> </w:t>
      </w:r>
      <w:r>
        <w:rPr>
          <w:rFonts w:hint="eastAsia"/>
          <w:color w:val="000000"/>
          <w:sz w:val="21"/>
          <w:szCs w:val="21"/>
          <w:lang w:val="en-US" w:eastAsia="zh-CN"/>
        </w:rPr>
        <w:t>kV，12</w:t>
      </w:r>
      <w:r>
        <w:rPr>
          <w:color w:val="000000"/>
          <w:sz w:val="21"/>
          <w:szCs w:val="21"/>
          <w:lang w:val="en-US" w:eastAsia="zh-CN"/>
        </w:rPr>
        <w:t xml:space="preserve"> </w:t>
      </w:r>
      <w:r>
        <w:rPr>
          <w:rFonts w:hint="eastAsia"/>
          <w:color w:val="000000"/>
          <w:sz w:val="21"/>
          <w:szCs w:val="21"/>
          <w:lang w:val="en-US" w:eastAsia="zh-CN"/>
        </w:rPr>
        <w:t>kV，15 kV，18 kV，24</w:t>
      </w:r>
      <w:r>
        <w:rPr>
          <w:color w:val="000000"/>
          <w:sz w:val="21"/>
          <w:szCs w:val="21"/>
          <w:lang w:val="en-US" w:eastAsia="zh-CN"/>
        </w:rPr>
        <w:t xml:space="preserve"> </w:t>
      </w:r>
      <w:r>
        <w:rPr>
          <w:rFonts w:hint="eastAsia"/>
          <w:color w:val="000000"/>
          <w:sz w:val="21"/>
          <w:szCs w:val="21"/>
          <w:lang w:val="en-US" w:eastAsia="zh-CN"/>
        </w:rPr>
        <w:t>kV，27</w:t>
      </w:r>
      <w:r>
        <w:rPr>
          <w:color w:val="000000"/>
          <w:sz w:val="21"/>
          <w:szCs w:val="21"/>
          <w:lang w:val="en-US" w:eastAsia="zh-CN"/>
        </w:rPr>
        <w:t xml:space="preserve"> </w:t>
      </w:r>
      <w:r>
        <w:rPr>
          <w:rFonts w:hint="eastAsia"/>
          <w:color w:val="000000"/>
          <w:sz w:val="21"/>
          <w:szCs w:val="21"/>
          <w:lang w:val="en-US" w:eastAsia="zh-CN"/>
        </w:rPr>
        <w:t>kV，30 kV，31.5</w:t>
      </w:r>
      <w:r>
        <w:rPr>
          <w:color w:val="000000"/>
          <w:sz w:val="21"/>
          <w:szCs w:val="21"/>
          <w:lang w:val="en-US" w:eastAsia="zh-CN"/>
        </w:rPr>
        <w:t xml:space="preserve"> </w:t>
      </w:r>
      <w:r>
        <w:rPr>
          <w:rFonts w:hint="eastAsia"/>
          <w:color w:val="000000"/>
          <w:sz w:val="21"/>
          <w:szCs w:val="21"/>
          <w:lang w:val="en-US" w:eastAsia="zh-CN"/>
        </w:rPr>
        <w:t>kV，33</w:t>
      </w:r>
      <w:r>
        <w:rPr>
          <w:color w:val="000000"/>
          <w:sz w:val="21"/>
          <w:szCs w:val="21"/>
          <w:lang w:val="en-US" w:eastAsia="zh-CN"/>
        </w:rPr>
        <w:t xml:space="preserve"> </w:t>
      </w:r>
      <w:r>
        <w:rPr>
          <w:rFonts w:hint="eastAsia"/>
          <w:color w:val="000000"/>
          <w:sz w:val="21"/>
          <w:szCs w:val="21"/>
          <w:lang w:val="en-US" w:eastAsia="zh-CN"/>
        </w:rPr>
        <w:t>kV，38</w:t>
      </w:r>
      <w:r>
        <w:rPr>
          <w:color w:val="000000"/>
          <w:sz w:val="21"/>
          <w:szCs w:val="21"/>
          <w:lang w:val="en-US" w:eastAsia="zh-CN"/>
        </w:rPr>
        <w:t xml:space="preserve"> </w:t>
      </w:r>
      <w:r>
        <w:rPr>
          <w:rFonts w:hint="eastAsia"/>
          <w:color w:val="000000"/>
          <w:sz w:val="21"/>
          <w:szCs w:val="21"/>
          <w:lang w:val="en-US" w:eastAsia="zh-CN"/>
        </w:rPr>
        <w:t>kV，40.5</w:t>
      </w:r>
      <w:r>
        <w:rPr>
          <w:color w:val="000000"/>
          <w:sz w:val="21"/>
          <w:szCs w:val="21"/>
          <w:lang w:val="en-US" w:eastAsia="zh-CN"/>
        </w:rPr>
        <w:t xml:space="preserve"> </w:t>
      </w:r>
      <w:r>
        <w:rPr>
          <w:rFonts w:hint="eastAsia"/>
          <w:color w:val="000000"/>
          <w:sz w:val="21"/>
          <w:szCs w:val="21"/>
          <w:lang w:val="en-US" w:eastAsia="zh-CN"/>
        </w:rPr>
        <w:t>kV。</w:t>
      </w:r>
    </w:p>
    <w:p w14:paraId="53081625">
      <w:pPr>
        <w:pStyle w:val="45"/>
        <w:numPr>
          <w:ilvl w:val="1"/>
          <w:numId w:val="2"/>
        </w:numPr>
        <w:adjustRightInd w:val="0"/>
        <w:snapToGrid w:val="0"/>
        <w:spacing w:before="156" w:beforeLines="50" w:after="156" w:afterLines="50"/>
        <w:ind w:left="0"/>
        <w:outlineLvl w:val="2"/>
      </w:pPr>
      <w:bookmarkStart w:id="53" w:name="_Toc123130255"/>
      <w:r>
        <w:rPr>
          <w:rFonts w:hint="eastAsia"/>
        </w:rPr>
        <w:t>额定绝缘水平</w:t>
      </w:r>
      <w:bookmarkEnd w:id="53"/>
    </w:p>
    <w:p w14:paraId="1244E570">
      <w:pPr>
        <w:pStyle w:val="146"/>
        <w:spacing w:after="0" w:line="240" w:lineRule="auto"/>
        <w:ind w:firstLine="464" w:firstLineChars="221"/>
        <w:jc w:val="left"/>
        <w:rPr>
          <w:color w:val="000000"/>
          <w:sz w:val="21"/>
          <w:szCs w:val="21"/>
          <w:lang w:val="en-US" w:eastAsia="zh-CN"/>
        </w:rPr>
      </w:pPr>
      <w:r>
        <w:rPr>
          <w:rFonts w:hint="eastAsia"/>
          <w:color w:val="000000"/>
          <w:sz w:val="21"/>
          <w:szCs w:val="21"/>
          <w:lang w:val="en-US" w:eastAsia="zh-CN"/>
        </w:rPr>
        <w:t>开关设备和控制设备的额定绝缘水平应在表5给定的数值中选取。</w:t>
      </w:r>
    </w:p>
    <w:p w14:paraId="55D5DA09">
      <w:pPr>
        <w:pStyle w:val="146"/>
        <w:spacing w:after="0" w:line="240" w:lineRule="auto"/>
        <w:ind w:firstLine="464" w:firstLineChars="221"/>
        <w:jc w:val="left"/>
        <w:rPr>
          <w:color w:val="000000"/>
          <w:sz w:val="21"/>
          <w:szCs w:val="21"/>
          <w:lang w:val="en-US" w:eastAsia="zh-CN"/>
        </w:rPr>
      </w:pPr>
      <w:r>
        <w:rPr>
          <w:rFonts w:hint="eastAsia"/>
          <w:color w:val="000000"/>
          <w:sz w:val="21"/>
          <w:szCs w:val="21"/>
          <w:lang w:val="en-US" w:eastAsia="zh-CN"/>
        </w:rPr>
        <w:t>在表中，耐受电压适用于GB</w:t>
      </w:r>
      <w:r>
        <w:rPr>
          <w:color w:val="000000"/>
          <w:sz w:val="21"/>
          <w:szCs w:val="21"/>
          <w:lang w:val="en-US" w:eastAsia="zh-CN"/>
        </w:rPr>
        <w:t xml:space="preserve"> </w:t>
      </w:r>
      <w:r>
        <w:rPr>
          <w:rFonts w:hint="eastAsia"/>
          <w:color w:val="000000"/>
          <w:sz w:val="21"/>
          <w:szCs w:val="21"/>
          <w:lang w:val="en-US" w:eastAsia="zh-CN"/>
        </w:rPr>
        <w:t>311.1中所规定的的标准参考大气、压力和湿度条件。若在本标准中无其他规定，表5中额定耐受电压值适用于极对地、极间和开关断口。</w:t>
      </w:r>
    </w:p>
    <w:p w14:paraId="6BBAB50D">
      <w:pPr>
        <w:pStyle w:val="146"/>
        <w:spacing w:after="0" w:line="240" w:lineRule="auto"/>
        <w:ind w:firstLine="464" w:firstLineChars="221"/>
        <w:jc w:val="left"/>
        <w:rPr>
          <w:color w:val="000000"/>
          <w:sz w:val="21"/>
          <w:szCs w:val="21"/>
          <w:lang w:val="en-US" w:eastAsia="zh-CN"/>
        </w:rPr>
      </w:pPr>
    </w:p>
    <w:p w14:paraId="33EC1345">
      <w:pPr>
        <w:pStyle w:val="23"/>
        <w:jc w:val="center"/>
        <w:rPr>
          <w:rFonts w:hAnsi="宋体" w:cs="宋体"/>
          <w:color w:val="000000"/>
          <w:kern w:val="2"/>
          <w:szCs w:val="21"/>
          <w:lang w:bidi="zh-TW"/>
        </w:rPr>
      </w:pPr>
      <w:r>
        <w:rPr>
          <w:rFonts w:hint="eastAsia" w:hAnsi="宋体" w:cs="宋体"/>
          <w:color w:val="000000"/>
          <w:kern w:val="2"/>
          <w:szCs w:val="21"/>
          <w:lang w:bidi="zh-TW"/>
        </w:rPr>
        <w:t>表5 额定绝缘水平</w:t>
      </w:r>
    </w:p>
    <w:tbl>
      <w:tblPr>
        <w:tblStyle w:val="33"/>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89"/>
        <w:gridCol w:w="3189"/>
      </w:tblGrid>
      <w:tr w14:paraId="6CA1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1" w:type="dxa"/>
            <w:vAlign w:val="center"/>
          </w:tcPr>
          <w:p w14:paraId="11C2BE7F">
            <w:pPr>
              <w:pStyle w:val="23"/>
              <w:ind w:firstLine="0" w:firstLineChars="0"/>
              <w:jc w:val="center"/>
              <w:rPr>
                <w:rFonts w:hAnsi="宋体" w:cs="宋体"/>
                <w:sz w:val="18"/>
                <w:szCs w:val="18"/>
              </w:rPr>
            </w:pPr>
            <w:r>
              <w:rPr>
                <w:rFonts w:hint="eastAsia" w:hAnsi="宋体" w:cs="宋体"/>
                <w:sz w:val="18"/>
                <w:szCs w:val="18"/>
              </w:rPr>
              <w:t>额定电压</w:t>
            </w:r>
            <w:r>
              <w:rPr>
                <w:rFonts w:hint="eastAsia" w:hAnsi="宋体" w:cs="宋体"/>
                <w:sz w:val="20"/>
                <w:szCs w:val="18"/>
              </w:rPr>
              <w:t xml:space="preserve"> </w:t>
            </w:r>
            <w:r>
              <w:rPr>
                <w:rFonts w:hint="eastAsia" w:hAnsi="宋体" w:cs="宋体"/>
                <w:i/>
                <w:sz w:val="20"/>
                <w:szCs w:val="18"/>
              </w:rPr>
              <w:t>U</w:t>
            </w:r>
            <w:r>
              <w:rPr>
                <w:rFonts w:hint="eastAsia" w:hAnsi="宋体" w:cs="宋体"/>
                <w:sz w:val="20"/>
                <w:szCs w:val="18"/>
                <w:vertAlign w:val="subscript"/>
              </w:rPr>
              <w:t>r</w:t>
            </w:r>
          </w:p>
          <w:p w14:paraId="6006A696">
            <w:pPr>
              <w:pStyle w:val="23"/>
              <w:ind w:firstLine="0" w:firstLineChars="0"/>
              <w:jc w:val="center"/>
              <w:rPr>
                <w:rFonts w:hAnsi="宋体" w:cs="宋体"/>
                <w:sz w:val="18"/>
                <w:szCs w:val="18"/>
              </w:rPr>
            </w:pPr>
            <w:r>
              <w:rPr>
                <w:rFonts w:hint="eastAsia" w:hAnsi="宋体" w:cs="宋体"/>
                <w:sz w:val="18"/>
                <w:szCs w:val="18"/>
              </w:rPr>
              <w:t>kV（有效值）</w:t>
            </w:r>
          </w:p>
        </w:tc>
        <w:tc>
          <w:tcPr>
            <w:tcW w:w="3189" w:type="dxa"/>
            <w:vAlign w:val="center"/>
          </w:tcPr>
          <w:p w14:paraId="1F061041">
            <w:pPr>
              <w:pStyle w:val="23"/>
              <w:ind w:firstLine="0" w:firstLineChars="0"/>
              <w:jc w:val="center"/>
              <w:rPr>
                <w:rFonts w:hAnsi="宋体" w:cs="宋体"/>
                <w:sz w:val="18"/>
                <w:szCs w:val="18"/>
              </w:rPr>
            </w:pPr>
            <w:r>
              <w:rPr>
                <w:rFonts w:hint="eastAsia" w:hAnsi="宋体" w:cs="宋体"/>
                <w:sz w:val="18"/>
                <w:szCs w:val="18"/>
              </w:rPr>
              <w:t>额定短时</w:t>
            </w:r>
            <w:r>
              <w:rPr>
                <w:rFonts w:hint="eastAsia" w:hAnsi="宋体" w:cs="宋体"/>
                <w:sz w:val="18"/>
                <w:szCs w:val="18"/>
                <w:lang w:eastAsia="zh-CN"/>
              </w:rPr>
              <w:t>交流</w:t>
            </w:r>
            <w:r>
              <w:rPr>
                <w:rFonts w:hint="eastAsia" w:hAnsi="宋体" w:cs="宋体"/>
                <w:sz w:val="18"/>
                <w:szCs w:val="18"/>
              </w:rPr>
              <w:t xml:space="preserve">耐受电压 </w:t>
            </w:r>
            <w:r>
              <w:rPr>
                <w:rFonts w:hint="eastAsia" w:hAnsi="宋体" w:cs="宋体"/>
                <w:i/>
                <w:sz w:val="20"/>
                <w:szCs w:val="18"/>
              </w:rPr>
              <w:t>U</w:t>
            </w:r>
            <w:r>
              <w:rPr>
                <w:rFonts w:hint="eastAsia" w:hAnsi="宋体" w:cs="宋体"/>
                <w:sz w:val="20"/>
                <w:szCs w:val="18"/>
                <w:vertAlign w:val="subscript"/>
              </w:rPr>
              <w:t>d</w:t>
            </w:r>
            <w:r>
              <w:rPr>
                <w:rFonts w:hint="eastAsia" w:hAnsi="宋体" w:cs="宋体"/>
                <w:sz w:val="18"/>
                <w:szCs w:val="18"/>
                <w:vertAlign w:val="subscript"/>
              </w:rPr>
              <w:t xml:space="preserve"> </w:t>
            </w:r>
          </w:p>
          <w:p w14:paraId="53A74DFB">
            <w:pPr>
              <w:pStyle w:val="23"/>
              <w:ind w:firstLine="0" w:firstLineChars="0"/>
              <w:jc w:val="center"/>
              <w:rPr>
                <w:rFonts w:hAnsi="宋体" w:cs="宋体"/>
                <w:sz w:val="18"/>
                <w:szCs w:val="18"/>
              </w:rPr>
            </w:pPr>
            <w:r>
              <w:rPr>
                <w:rFonts w:hint="eastAsia" w:hAnsi="宋体" w:cs="宋体"/>
                <w:sz w:val="18"/>
                <w:szCs w:val="18"/>
              </w:rPr>
              <w:t>kV（有效值）</w:t>
            </w:r>
          </w:p>
        </w:tc>
        <w:tc>
          <w:tcPr>
            <w:tcW w:w="3189" w:type="dxa"/>
            <w:vAlign w:val="center"/>
          </w:tcPr>
          <w:p w14:paraId="2562ECA1">
            <w:pPr>
              <w:pStyle w:val="23"/>
              <w:ind w:firstLine="0" w:firstLineChars="0"/>
              <w:jc w:val="center"/>
              <w:rPr>
                <w:rFonts w:hAnsi="宋体" w:cs="宋体"/>
                <w:sz w:val="18"/>
                <w:szCs w:val="18"/>
              </w:rPr>
            </w:pPr>
            <w:r>
              <w:rPr>
                <w:rFonts w:hint="eastAsia" w:hAnsi="宋体" w:cs="宋体"/>
                <w:sz w:val="18"/>
                <w:szCs w:val="18"/>
              </w:rPr>
              <w:t>额定雷电冲击耐受电压</w:t>
            </w:r>
            <w:r>
              <w:rPr>
                <w:rFonts w:hint="eastAsia" w:hAnsi="宋体" w:cs="宋体"/>
                <w:i/>
                <w:sz w:val="20"/>
                <w:szCs w:val="18"/>
              </w:rPr>
              <w:t>U</w:t>
            </w:r>
            <w:r>
              <w:rPr>
                <w:rFonts w:hAnsi="宋体" w:cs="宋体"/>
                <w:sz w:val="20"/>
                <w:szCs w:val="18"/>
                <w:vertAlign w:val="subscript"/>
              </w:rPr>
              <w:t>p</w:t>
            </w:r>
            <w:r>
              <w:rPr>
                <w:rFonts w:hint="eastAsia" w:hAnsi="宋体" w:cs="宋体"/>
                <w:sz w:val="18"/>
                <w:szCs w:val="18"/>
                <w:vertAlign w:val="subscript"/>
              </w:rPr>
              <w:t xml:space="preserve"> </w:t>
            </w:r>
          </w:p>
          <w:p w14:paraId="01AD82DD">
            <w:pPr>
              <w:pStyle w:val="23"/>
              <w:ind w:firstLine="0" w:firstLineChars="0"/>
              <w:jc w:val="center"/>
              <w:rPr>
                <w:rFonts w:hAnsi="宋体" w:cs="宋体"/>
                <w:sz w:val="18"/>
                <w:szCs w:val="18"/>
              </w:rPr>
            </w:pPr>
            <w:r>
              <w:rPr>
                <w:rFonts w:hint="eastAsia" w:hAnsi="宋体" w:cs="宋体"/>
                <w:sz w:val="18"/>
                <w:szCs w:val="18"/>
              </w:rPr>
              <w:t>kV（峰值）</w:t>
            </w:r>
          </w:p>
        </w:tc>
      </w:tr>
      <w:tr w14:paraId="7AC8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191" w:type="dxa"/>
            <w:vAlign w:val="center"/>
          </w:tcPr>
          <w:p w14:paraId="31B7E63F">
            <w:pPr>
              <w:pStyle w:val="23"/>
              <w:ind w:firstLine="0" w:firstLineChars="0"/>
              <w:jc w:val="center"/>
              <w:rPr>
                <w:rFonts w:hAnsi="宋体" w:cs="宋体"/>
                <w:sz w:val="18"/>
                <w:szCs w:val="18"/>
              </w:rPr>
            </w:pPr>
            <w:r>
              <w:rPr>
                <w:rFonts w:hint="eastAsia" w:hAnsi="宋体" w:cs="宋体"/>
                <w:sz w:val="18"/>
                <w:szCs w:val="18"/>
              </w:rPr>
              <w:t>3.6</w:t>
            </w:r>
          </w:p>
        </w:tc>
        <w:tc>
          <w:tcPr>
            <w:tcW w:w="3189" w:type="dxa"/>
            <w:vAlign w:val="center"/>
          </w:tcPr>
          <w:p w14:paraId="64BF751A">
            <w:pPr>
              <w:pStyle w:val="23"/>
              <w:ind w:firstLine="0" w:firstLineChars="0"/>
              <w:jc w:val="center"/>
              <w:rPr>
                <w:rFonts w:hAnsi="宋体" w:cs="宋体"/>
                <w:sz w:val="18"/>
                <w:szCs w:val="18"/>
              </w:rPr>
            </w:pPr>
            <w:r>
              <w:rPr>
                <w:rFonts w:hAnsi="宋体" w:cs="宋体"/>
                <w:sz w:val="18"/>
                <w:szCs w:val="18"/>
              </w:rPr>
              <w:t>25</w:t>
            </w:r>
          </w:p>
        </w:tc>
        <w:tc>
          <w:tcPr>
            <w:tcW w:w="3189" w:type="dxa"/>
            <w:vAlign w:val="center"/>
          </w:tcPr>
          <w:p w14:paraId="306ED3DF">
            <w:pPr>
              <w:pStyle w:val="23"/>
              <w:ind w:firstLine="0" w:firstLineChars="0"/>
              <w:jc w:val="center"/>
              <w:rPr>
                <w:rFonts w:hAnsi="宋体" w:cs="宋体"/>
                <w:sz w:val="18"/>
                <w:szCs w:val="18"/>
              </w:rPr>
            </w:pPr>
            <w:r>
              <w:rPr>
                <w:rFonts w:hint="eastAsia" w:hAnsi="宋体" w:cs="宋体"/>
                <w:sz w:val="18"/>
                <w:szCs w:val="18"/>
              </w:rPr>
              <w:t>40</w:t>
            </w:r>
          </w:p>
        </w:tc>
      </w:tr>
      <w:tr w14:paraId="6EA8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91" w:type="dxa"/>
            <w:vAlign w:val="center"/>
          </w:tcPr>
          <w:p w14:paraId="7CE3FD27">
            <w:pPr>
              <w:pStyle w:val="23"/>
              <w:ind w:firstLine="0" w:firstLineChars="0"/>
              <w:jc w:val="center"/>
              <w:rPr>
                <w:rFonts w:hAnsi="宋体" w:cs="宋体"/>
                <w:sz w:val="18"/>
                <w:szCs w:val="18"/>
              </w:rPr>
            </w:pPr>
            <w:r>
              <w:rPr>
                <w:rFonts w:hint="eastAsia" w:hAnsi="宋体" w:cs="宋体"/>
                <w:sz w:val="18"/>
                <w:szCs w:val="18"/>
              </w:rPr>
              <w:t>7.2</w:t>
            </w:r>
          </w:p>
        </w:tc>
        <w:tc>
          <w:tcPr>
            <w:tcW w:w="3189" w:type="dxa"/>
            <w:vAlign w:val="center"/>
          </w:tcPr>
          <w:p w14:paraId="5E63E523">
            <w:pPr>
              <w:pStyle w:val="23"/>
              <w:ind w:firstLine="0" w:firstLineChars="0"/>
              <w:jc w:val="center"/>
              <w:rPr>
                <w:rFonts w:hAnsi="宋体" w:cs="宋体"/>
                <w:sz w:val="18"/>
                <w:szCs w:val="18"/>
              </w:rPr>
            </w:pPr>
            <w:r>
              <w:rPr>
                <w:rFonts w:hAnsi="宋体" w:cs="宋体"/>
                <w:sz w:val="18"/>
                <w:szCs w:val="18"/>
              </w:rPr>
              <w:t>30</w:t>
            </w:r>
          </w:p>
        </w:tc>
        <w:tc>
          <w:tcPr>
            <w:tcW w:w="3189" w:type="dxa"/>
            <w:vAlign w:val="center"/>
          </w:tcPr>
          <w:p w14:paraId="09F10F03">
            <w:pPr>
              <w:pStyle w:val="23"/>
              <w:ind w:firstLine="0" w:firstLineChars="0"/>
              <w:jc w:val="center"/>
              <w:rPr>
                <w:rFonts w:hAnsi="宋体" w:cs="宋体"/>
                <w:sz w:val="18"/>
                <w:szCs w:val="18"/>
              </w:rPr>
            </w:pPr>
            <w:r>
              <w:rPr>
                <w:rFonts w:hint="eastAsia" w:hAnsi="宋体" w:cs="宋体"/>
                <w:sz w:val="18"/>
                <w:szCs w:val="18"/>
              </w:rPr>
              <w:t>60</w:t>
            </w:r>
          </w:p>
        </w:tc>
      </w:tr>
      <w:tr w14:paraId="2031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191" w:type="dxa"/>
            <w:vAlign w:val="center"/>
          </w:tcPr>
          <w:p w14:paraId="6679F992">
            <w:pPr>
              <w:pStyle w:val="23"/>
              <w:ind w:firstLine="0" w:firstLineChars="0"/>
              <w:jc w:val="center"/>
              <w:rPr>
                <w:rFonts w:hAnsi="宋体" w:cs="宋体"/>
                <w:sz w:val="18"/>
                <w:szCs w:val="18"/>
              </w:rPr>
            </w:pPr>
            <w:r>
              <w:rPr>
                <w:rFonts w:hint="eastAsia" w:hAnsi="宋体" w:cs="宋体"/>
                <w:sz w:val="18"/>
                <w:szCs w:val="18"/>
              </w:rPr>
              <w:t>12</w:t>
            </w:r>
          </w:p>
        </w:tc>
        <w:tc>
          <w:tcPr>
            <w:tcW w:w="3189" w:type="dxa"/>
            <w:vAlign w:val="center"/>
          </w:tcPr>
          <w:p w14:paraId="51308AED">
            <w:pPr>
              <w:pStyle w:val="23"/>
              <w:ind w:firstLine="0" w:firstLineChars="0"/>
              <w:jc w:val="center"/>
              <w:rPr>
                <w:rFonts w:hAnsi="宋体" w:cs="宋体"/>
                <w:sz w:val="18"/>
                <w:szCs w:val="18"/>
              </w:rPr>
            </w:pPr>
            <w:r>
              <w:rPr>
                <w:rFonts w:hint="eastAsia" w:hAnsi="宋体" w:cs="宋体"/>
                <w:sz w:val="18"/>
                <w:szCs w:val="18"/>
              </w:rPr>
              <w:t>42</w:t>
            </w:r>
          </w:p>
        </w:tc>
        <w:tc>
          <w:tcPr>
            <w:tcW w:w="3189" w:type="dxa"/>
            <w:vAlign w:val="center"/>
          </w:tcPr>
          <w:p w14:paraId="1B6C9FCC">
            <w:pPr>
              <w:pStyle w:val="23"/>
              <w:ind w:firstLine="0" w:firstLineChars="0"/>
              <w:jc w:val="center"/>
              <w:rPr>
                <w:rFonts w:hAnsi="宋体" w:cs="宋体"/>
                <w:sz w:val="18"/>
                <w:szCs w:val="18"/>
              </w:rPr>
            </w:pPr>
            <w:r>
              <w:rPr>
                <w:rFonts w:hint="eastAsia" w:hAnsi="宋体" w:cs="宋体"/>
                <w:sz w:val="18"/>
                <w:szCs w:val="18"/>
              </w:rPr>
              <w:t>75</w:t>
            </w:r>
          </w:p>
        </w:tc>
      </w:tr>
      <w:tr w14:paraId="176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191" w:type="dxa"/>
            <w:vAlign w:val="center"/>
          </w:tcPr>
          <w:p w14:paraId="3A6624D9">
            <w:pPr>
              <w:pStyle w:val="23"/>
              <w:ind w:firstLine="0" w:firstLineChars="0"/>
              <w:jc w:val="center"/>
              <w:rPr>
                <w:rFonts w:hAnsi="宋体" w:cs="宋体"/>
                <w:sz w:val="18"/>
                <w:szCs w:val="18"/>
              </w:rPr>
            </w:pPr>
            <w:r>
              <w:rPr>
                <w:rFonts w:hint="eastAsia" w:hAnsi="宋体" w:cs="宋体"/>
                <w:sz w:val="18"/>
                <w:szCs w:val="18"/>
              </w:rPr>
              <w:t>24</w:t>
            </w:r>
          </w:p>
        </w:tc>
        <w:tc>
          <w:tcPr>
            <w:tcW w:w="3189" w:type="dxa"/>
            <w:vAlign w:val="center"/>
          </w:tcPr>
          <w:p w14:paraId="4178AAA3">
            <w:pPr>
              <w:pStyle w:val="23"/>
              <w:ind w:firstLine="0" w:firstLineChars="0"/>
              <w:jc w:val="center"/>
              <w:rPr>
                <w:rFonts w:hAnsi="宋体" w:cs="宋体"/>
                <w:sz w:val="18"/>
                <w:szCs w:val="18"/>
              </w:rPr>
            </w:pPr>
            <w:r>
              <w:rPr>
                <w:rFonts w:hint="eastAsia" w:hAnsi="宋体" w:cs="宋体"/>
                <w:sz w:val="18"/>
                <w:szCs w:val="18"/>
              </w:rPr>
              <w:t>50</w:t>
            </w:r>
          </w:p>
        </w:tc>
        <w:tc>
          <w:tcPr>
            <w:tcW w:w="3189" w:type="dxa"/>
            <w:vAlign w:val="center"/>
          </w:tcPr>
          <w:p w14:paraId="27161613">
            <w:pPr>
              <w:pStyle w:val="23"/>
              <w:ind w:firstLine="0" w:firstLineChars="0"/>
              <w:jc w:val="center"/>
              <w:rPr>
                <w:rFonts w:hAnsi="宋体" w:cs="宋体"/>
                <w:sz w:val="18"/>
                <w:szCs w:val="18"/>
              </w:rPr>
            </w:pPr>
            <w:r>
              <w:rPr>
                <w:rFonts w:hint="eastAsia" w:hAnsi="宋体" w:cs="宋体"/>
                <w:sz w:val="18"/>
                <w:szCs w:val="18"/>
              </w:rPr>
              <w:t>95</w:t>
            </w:r>
          </w:p>
        </w:tc>
      </w:tr>
      <w:tr w14:paraId="16E8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91" w:type="dxa"/>
            <w:vAlign w:val="center"/>
          </w:tcPr>
          <w:p w14:paraId="2EA273B2">
            <w:pPr>
              <w:pStyle w:val="23"/>
              <w:ind w:firstLine="0" w:firstLineChars="0"/>
              <w:jc w:val="center"/>
              <w:rPr>
                <w:rFonts w:hAnsi="宋体" w:cs="宋体"/>
                <w:sz w:val="18"/>
                <w:szCs w:val="18"/>
              </w:rPr>
            </w:pPr>
            <w:r>
              <w:rPr>
                <w:rFonts w:hint="eastAsia" w:hAnsi="宋体" w:cs="宋体"/>
                <w:sz w:val="18"/>
                <w:szCs w:val="18"/>
              </w:rPr>
              <w:t>40.5</w:t>
            </w:r>
          </w:p>
        </w:tc>
        <w:tc>
          <w:tcPr>
            <w:tcW w:w="3189" w:type="dxa"/>
            <w:vAlign w:val="center"/>
          </w:tcPr>
          <w:p w14:paraId="5243389E">
            <w:pPr>
              <w:pStyle w:val="23"/>
              <w:ind w:firstLine="0" w:firstLineChars="0"/>
              <w:jc w:val="center"/>
              <w:rPr>
                <w:rFonts w:hAnsi="宋体" w:cs="宋体"/>
                <w:sz w:val="18"/>
                <w:szCs w:val="18"/>
              </w:rPr>
            </w:pPr>
            <w:r>
              <w:rPr>
                <w:rFonts w:hint="eastAsia" w:hAnsi="宋体" w:cs="宋体"/>
                <w:sz w:val="18"/>
                <w:szCs w:val="18"/>
              </w:rPr>
              <w:t>95</w:t>
            </w:r>
          </w:p>
        </w:tc>
        <w:tc>
          <w:tcPr>
            <w:tcW w:w="3189" w:type="dxa"/>
            <w:vAlign w:val="center"/>
          </w:tcPr>
          <w:p w14:paraId="6FC51E02">
            <w:pPr>
              <w:pStyle w:val="23"/>
              <w:ind w:firstLine="0" w:firstLineChars="0"/>
              <w:jc w:val="center"/>
              <w:rPr>
                <w:rFonts w:hAnsi="宋体" w:cs="宋体"/>
                <w:sz w:val="18"/>
                <w:szCs w:val="18"/>
              </w:rPr>
            </w:pPr>
            <w:r>
              <w:rPr>
                <w:rFonts w:hint="eastAsia" w:hAnsi="宋体" w:cs="宋体"/>
                <w:sz w:val="18"/>
                <w:szCs w:val="18"/>
              </w:rPr>
              <w:t>185</w:t>
            </w:r>
          </w:p>
        </w:tc>
      </w:tr>
      <w:tr w14:paraId="0098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569" w:type="dxa"/>
            <w:gridSpan w:val="3"/>
            <w:vAlign w:val="center"/>
          </w:tcPr>
          <w:p w14:paraId="45A1F069">
            <w:pPr>
              <w:pStyle w:val="23"/>
              <w:ind w:firstLine="360"/>
              <w:jc w:val="left"/>
              <w:rPr>
                <w:rFonts w:ascii="黑体" w:hAnsi="黑体" w:eastAsia="黑体" w:cs="宋体"/>
                <w:sz w:val="18"/>
                <w:szCs w:val="18"/>
              </w:rPr>
            </w:pPr>
            <w:r>
              <w:rPr>
                <w:rFonts w:hint="eastAsia" w:ascii="黑体" w:hAnsi="黑体" w:eastAsia="黑体" w:cs="宋体"/>
                <w:sz w:val="18"/>
                <w:szCs w:val="18"/>
              </w:rPr>
              <w:t>注</w:t>
            </w:r>
            <w:r>
              <w:rPr>
                <w:rFonts w:ascii="黑体" w:hAnsi="黑体" w:eastAsia="黑体" w:cs="宋体"/>
                <w:sz w:val="18"/>
                <w:szCs w:val="18"/>
              </w:rPr>
              <w:t>：</w:t>
            </w:r>
            <w:r>
              <w:rPr>
                <w:rFonts w:hint="eastAsia" w:hAnsi="宋体" w:cs="宋体"/>
                <w:sz w:val="18"/>
                <w:szCs w:val="18"/>
              </w:rPr>
              <w:t>耐受电压包括了正常运行条件下规定的最高海拔1000m时的海拔修正。</w:t>
            </w:r>
          </w:p>
        </w:tc>
      </w:tr>
    </w:tbl>
    <w:p w14:paraId="25CCD3E9">
      <w:pPr>
        <w:pStyle w:val="23"/>
        <w:ind w:firstLine="360"/>
        <w:jc w:val="center"/>
        <w:rPr>
          <w:rFonts w:hAnsi="宋体" w:cs="宋体"/>
          <w:sz w:val="18"/>
          <w:szCs w:val="18"/>
        </w:rPr>
      </w:pPr>
    </w:p>
    <w:p w14:paraId="72C3D848">
      <w:pPr>
        <w:pStyle w:val="45"/>
        <w:numPr>
          <w:ilvl w:val="1"/>
          <w:numId w:val="2"/>
        </w:numPr>
        <w:adjustRightInd w:val="0"/>
        <w:snapToGrid w:val="0"/>
        <w:spacing w:before="156" w:beforeLines="50" w:after="156" w:afterLines="50"/>
        <w:ind w:left="0"/>
        <w:outlineLvl w:val="2"/>
      </w:pPr>
      <w:bookmarkStart w:id="54" w:name="_Toc123130256"/>
      <w:bookmarkStart w:id="55" w:name="_Toc26990"/>
      <w:r>
        <w:t>额定绝缘电阻</w:t>
      </w:r>
      <w:bookmarkEnd w:id="54"/>
    </w:p>
    <w:p w14:paraId="40D62595">
      <w:pPr>
        <w:pStyle w:val="144"/>
        <w:spacing w:after="60" w:line="324" w:lineRule="exact"/>
        <w:ind w:firstLine="464" w:firstLineChars="221"/>
        <w:jc w:val="left"/>
        <w:rPr>
          <w:rFonts w:asciiTheme="minorEastAsia" w:hAnsiTheme="minorEastAsia" w:eastAsiaTheme="minorEastAsia"/>
          <w:bCs/>
          <w:color w:val="000000"/>
          <w:sz w:val="21"/>
          <w:szCs w:val="21"/>
          <w:lang w:eastAsia="zh-CN"/>
        </w:rPr>
      </w:pPr>
      <w:r>
        <w:rPr>
          <w:rFonts w:hint="eastAsia" w:asciiTheme="minorEastAsia" w:hAnsiTheme="minorEastAsia" w:eastAsiaTheme="minorEastAsia"/>
          <w:bCs/>
          <w:color w:val="000000"/>
          <w:sz w:val="21"/>
          <w:szCs w:val="21"/>
          <w:lang w:val="en-US" w:eastAsia="zh-CN"/>
        </w:rPr>
        <w:t>DC2500</w:t>
      </w:r>
      <w:r>
        <w:rPr>
          <w:rFonts w:asciiTheme="minorEastAsia" w:hAnsiTheme="minorEastAsia" w:eastAsiaTheme="minorEastAsia"/>
          <w:bCs/>
          <w:color w:val="000000"/>
          <w:sz w:val="21"/>
          <w:szCs w:val="21"/>
          <w:lang w:val="en-US" w:eastAsia="zh-CN"/>
        </w:rPr>
        <w:t xml:space="preserve"> </w:t>
      </w:r>
      <w:r>
        <w:rPr>
          <w:rFonts w:hint="eastAsia" w:asciiTheme="minorEastAsia" w:hAnsiTheme="minorEastAsia" w:eastAsiaTheme="minorEastAsia"/>
          <w:bCs/>
          <w:color w:val="000000"/>
          <w:sz w:val="21"/>
          <w:szCs w:val="21"/>
          <w:lang w:val="en-US" w:eastAsia="zh-CN"/>
        </w:rPr>
        <w:t>V，1min时</w:t>
      </w:r>
      <w:r>
        <w:rPr>
          <w:rFonts w:hint="eastAsia" w:asciiTheme="minorEastAsia" w:hAnsiTheme="minorEastAsia" w:eastAsiaTheme="minorEastAsia"/>
          <w:bCs/>
          <w:color w:val="000000"/>
          <w:sz w:val="21"/>
          <w:szCs w:val="21"/>
          <w:lang w:eastAsia="zh-CN"/>
        </w:rPr>
        <w:t>绝缘电阻应大于</w:t>
      </w:r>
      <w:r>
        <w:rPr>
          <w:rFonts w:asciiTheme="minorEastAsia" w:hAnsiTheme="minorEastAsia" w:eastAsiaTheme="minorEastAsia"/>
          <w:bCs/>
          <w:color w:val="000000"/>
          <w:sz w:val="21"/>
          <w:szCs w:val="21"/>
          <w:lang w:eastAsia="zh-CN"/>
        </w:rPr>
        <w:t>1000</w:t>
      </w:r>
      <w:r>
        <w:rPr>
          <w:rFonts w:asciiTheme="minorEastAsia" w:hAnsiTheme="minorEastAsia" w:eastAsiaTheme="minorEastAsia"/>
          <w:color w:val="000000"/>
          <w:sz w:val="21"/>
          <w:szCs w:val="21"/>
        </w:rPr>
        <w:t xml:space="preserve"> </w:t>
      </w:r>
      <w:r>
        <w:rPr>
          <w:rFonts w:asciiTheme="minorEastAsia" w:hAnsiTheme="minorEastAsia" w:eastAsiaTheme="minorEastAsia"/>
          <w:bCs/>
          <w:color w:val="000000"/>
          <w:sz w:val="21"/>
          <w:szCs w:val="21"/>
          <w:lang w:eastAsia="zh-CN"/>
        </w:rPr>
        <w:t>M</w:t>
      </w:r>
      <w:r>
        <w:rPr>
          <w:rFonts w:ascii="Times New Roman" w:hAnsi="Times New Roman" w:cs="Times New Roman" w:eastAsiaTheme="minorEastAsia"/>
          <w:bCs/>
          <w:color w:val="000000"/>
          <w:sz w:val="21"/>
          <w:szCs w:val="21"/>
          <w:lang w:eastAsia="zh-CN"/>
        </w:rPr>
        <w:t>Ω</w:t>
      </w:r>
      <w:r>
        <w:rPr>
          <w:rFonts w:hint="eastAsia" w:asciiTheme="minorEastAsia" w:hAnsiTheme="minorEastAsia" w:eastAsiaTheme="minorEastAsia"/>
          <w:bCs/>
          <w:color w:val="000000"/>
          <w:sz w:val="21"/>
          <w:szCs w:val="21"/>
          <w:lang w:eastAsia="zh-CN"/>
        </w:rPr>
        <w:t>。</w:t>
      </w:r>
    </w:p>
    <w:p w14:paraId="74DFD462">
      <w:pPr>
        <w:pStyle w:val="45"/>
        <w:numPr>
          <w:ilvl w:val="1"/>
          <w:numId w:val="2"/>
        </w:numPr>
        <w:adjustRightInd w:val="0"/>
        <w:snapToGrid w:val="0"/>
        <w:spacing w:before="156" w:beforeLines="50" w:after="156" w:afterLines="50"/>
        <w:ind w:left="0"/>
        <w:outlineLvl w:val="2"/>
      </w:pPr>
      <w:bookmarkStart w:id="56" w:name="_Toc123130257"/>
      <w:r>
        <w:t>耐受电流</w:t>
      </w:r>
      <w:bookmarkEnd w:id="56"/>
    </w:p>
    <w:p w14:paraId="466A3DD6">
      <w:pPr>
        <w:pStyle w:val="46"/>
        <w:spacing w:before="156" w:after="156" w:line="314" w:lineRule="exact"/>
        <w:ind w:left="0"/>
        <w:rPr>
          <w:rFonts w:hAnsi="黑体"/>
          <w:bCs/>
          <w:lang w:val="zh-TW" w:eastAsia="zh-TW" w:bidi="zh-TW"/>
        </w:rPr>
      </w:pPr>
      <w:r>
        <w:rPr>
          <w:rFonts w:hAnsi="黑体"/>
          <w:bCs/>
          <w:lang w:val="zh-TW" w:eastAsia="zh-TW" w:bidi="zh-TW"/>
        </w:rPr>
        <w:t>额定短时耐受电流</w:t>
      </w:r>
      <w:r>
        <w:rPr>
          <w:rFonts w:hAnsi="黑体"/>
          <w:lang w:val="zh-TW" w:eastAsia="zh-TW" w:bidi="zh-TW"/>
        </w:rPr>
        <w:t>（</w:t>
      </w:r>
      <w:r>
        <w:rPr>
          <w:rFonts w:hAnsi="黑体"/>
          <w:i/>
          <w:lang w:val="zh-TW" w:eastAsia="zh-TW" w:bidi="zh-TW"/>
        </w:rPr>
        <w:t>Ik</w:t>
      </w:r>
      <w:r>
        <w:rPr>
          <w:rFonts w:hAnsi="黑体"/>
          <w:lang w:val="zh-TW" w:eastAsia="zh-TW" w:bidi="zh-TW"/>
        </w:rPr>
        <w:t>）</w:t>
      </w:r>
    </w:p>
    <w:p w14:paraId="62A92B7C">
      <w:pPr>
        <w:pStyle w:val="144"/>
        <w:spacing w:after="60" w:line="324" w:lineRule="exact"/>
        <w:ind w:firstLine="420"/>
        <w:jc w:val="left"/>
        <w:rPr>
          <w:rFonts w:asciiTheme="minorEastAsia" w:hAnsiTheme="minorEastAsia" w:eastAsiaTheme="minorEastAsia"/>
          <w:bCs/>
          <w:color w:val="000000"/>
          <w:sz w:val="21"/>
          <w:szCs w:val="21"/>
          <w:lang w:eastAsia="zh-CN"/>
        </w:rPr>
      </w:pPr>
      <w:r>
        <w:rPr>
          <w:rFonts w:hint="eastAsia" w:asciiTheme="minorEastAsia" w:hAnsiTheme="minorEastAsia" w:eastAsiaTheme="minorEastAsia"/>
          <w:bCs/>
          <w:color w:val="000000"/>
          <w:sz w:val="21"/>
          <w:szCs w:val="21"/>
          <w:lang w:eastAsia="zh-CN"/>
        </w:rPr>
        <w:t>规定的使用和性能条件下，在规定的短时间内，开关设备和控制设备在合闸位置能够承载的电流的有效值。</w:t>
      </w:r>
    </w:p>
    <w:p w14:paraId="5EDAE596">
      <w:pPr>
        <w:pStyle w:val="144"/>
        <w:spacing w:after="60" w:line="324" w:lineRule="exact"/>
        <w:ind w:firstLine="420"/>
        <w:jc w:val="left"/>
        <w:rPr>
          <w:rFonts w:asciiTheme="minorEastAsia" w:hAnsiTheme="minorEastAsia" w:eastAsiaTheme="minorEastAsia"/>
          <w:bCs/>
          <w:color w:val="000000"/>
          <w:sz w:val="21"/>
          <w:szCs w:val="21"/>
          <w:lang w:eastAsia="zh-CN"/>
        </w:rPr>
      </w:pPr>
      <w:r>
        <w:rPr>
          <w:rFonts w:hint="eastAsia" w:asciiTheme="minorEastAsia" w:hAnsiTheme="minorEastAsia" w:eastAsiaTheme="minorEastAsia"/>
          <w:bCs/>
          <w:color w:val="000000"/>
          <w:sz w:val="21"/>
          <w:szCs w:val="21"/>
          <w:lang w:eastAsia="zh-CN"/>
        </w:rPr>
        <w:t>额定短时耐受电流的标准值应当从GB/T 762中规定的R10系列中选取。</w:t>
      </w:r>
    </w:p>
    <w:p w14:paraId="5E2D7C71">
      <w:pPr>
        <w:pStyle w:val="144"/>
        <w:spacing w:after="60" w:line="324" w:lineRule="exact"/>
        <w:ind w:firstLine="397" w:firstLineChars="221"/>
        <w:jc w:val="left"/>
        <w:rPr>
          <w:rFonts w:asciiTheme="minorEastAsia" w:hAnsiTheme="minorEastAsia" w:eastAsiaTheme="minorEastAsia"/>
          <w:bCs/>
          <w:color w:val="000000"/>
          <w:sz w:val="18"/>
          <w:szCs w:val="18"/>
          <w:lang w:eastAsia="zh-CN"/>
        </w:rPr>
      </w:pPr>
      <w:r>
        <w:rPr>
          <w:rFonts w:hint="eastAsia" w:ascii="黑体" w:hAnsi="黑体" w:eastAsia="黑体"/>
          <w:bCs/>
          <w:color w:val="000000"/>
          <w:sz w:val="18"/>
          <w:szCs w:val="18"/>
          <w:lang w:eastAsia="zh-CN"/>
        </w:rPr>
        <w:t>注：</w:t>
      </w:r>
      <w:r>
        <w:rPr>
          <w:rFonts w:hint="eastAsia" w:asciiTheme="minorEastAsia" w:hAnsiTheme="minorEastAsia" w:eastAsiaTheme="minorEastAsia"/>
          <w:bCs/>
          <w:color w:val="000000"/>
          <w:sz w:val="18"/>
          <w:szCs w:val="18"/>
          <w:lang w:eastAsia="zh-CN"/>
        </w:rPr>
        <w:t>R10系列包括数字1-1.25-1.6-2-2.5-3.15-4-5-6.3-8及其与10</w:t>
      </w:r>
      <w:r>
        <w:rPr>
          <w:rFonts w:hint="eastAsia" w:asciiTheme="minorEastAsia" w:hAnsiTheme="minorEastAsia" w:eastAsiaTheme="minorEastAsia"/>
          <w:color w:val="000000"/>
          <w:sz w:val="18"/>
          <w:szCs w:val="18"/>
          <w:vertAlign w:val="superscript"/>
          <w:lang w:eastAsia="zh-CN"/>
        </w:rPr>
        <w:t>n</w:t>
      </w:r>
      <w:r>
        <w:rPr>
          <w:rFonts w:hint="eastAsia" w:asciiTheme="minorEastAsia" w:hAnsiTheme="minorEastAsia" w:eastAsiaTheme="minorEastAsia"/>
          <w:bCs/>
          <w:color w:val="000000"/>
          <w:sz w:val="18"/>
          <w:szCs w:val="18"/>
          <w:lang w:eastAsia="zh-CN"/>
        </w:rPr>
        <w:t>的乘积。</w:t>
      </w:r>
    </w:p>
    <w:p w14:paraId="33EC11DA">
      <w:pPr>
        <w:pStyle w:val="46"/>
        <w:spacing w:before="156" w:after="156" w:line="314" w:lineRule="exact"/>
        <w:ind w:left="0"/>
        <w:rPr>
          <w:rFonts w:hAnsi="黑体"/>
          <w:lang w:val="zh-TW" w:eastAsia="zh-TW" w:bidi="zh-TW"/>
        </w:rPr>
      </w:pPr>
      <w:r>
        <w:rPr>
          <w:rFonts w:hAnsi="黑体"/>
          <w:bCs/>
          <w:lang w:val="zh-TW" w:eastAsia="zh-TW" w:bidi="zh-TW"/>
        </w:rPr>
        <w:t>额定峰值耐受电流（</w:t>
      </w:r>
      <w:r>
        <w:rPr>
          <w:rFonts w:hint="eastAsia" w:hAnsi="黑体"/>
          <w:bCs/>
          <w:i/>
          <w:lang w:val="zh-TW" w:eastAsia="zh-TW" w:bidi="zh-TW"/>
        </w:rPr>
        <w:t>I</w:t>
      </w:r>
      <w:r>
        <w:rPr>
          <w:rFonts w:hAnsi="黑体"/>
          <w:i/>
          <w:vertAlign w:val="subscript"/>
          <w:lang w:val="zh-TW" w:eastAsia="zh-TW" w:bidi="zh-TW"/>
        </w:rPr>
        <w:t>p</w:t>
      </w:r>
      <w:r>
        <w:rPr>
          <w:rFonts w:hAnsi="黑体"/>
          <w:bCs/>
          <w:lang w:val="zh-TW" w:eastAsia="zh-TW" w:bidi="zh-TW"/>
        </w:rPr>
        <w:t>）</w:t>
      </w:r>
    </w:p>
    <w:p w14:paraId="3801BA3B">
      <w:pPr>
        <w:pStyle w:val="144"/>
        <w:spacing w:after="60" w:line="324" w:lineRule="exact"/>
        <w:ind w:firstLine="464" w:firstLineChars="221"/>
        <w:jc w:val="left"/>
        <w:rPr>
          <w:rFonts w:asciiTheme="minorEastAsia" w:hAnsiTheme="minorEastAsia" w:eastAsiaTheme="minorEastAsia"/>
          <w:color w:val="000000"/>
          <w:sz w:val="21"/>
          <w:szCs w:val="21"/>
          <w:lang w:eastAsia="zh-CN"/>
        </w:rPr>
      </w:pPr>
      <w:r>
        <w:rPr>
          <w:rFonts w:hint="eastAsia"/>
          <w:color w:val="000000"/>
          <w:sz w:val="21"/>
          <w:szCs w:val="21"/>
        </w:rPr>
        <w:t>GB</w:t>
      </w:r>
      <w:r>
        <w:rPr>
          <w:color w:val="000000"/>
          <w:sz w:val="21"/>
          <w:szCs w:val="21"/>
        </w:rPr>
        <w:t xml:space="preserve">/T </w:t>
      </w:r>
      <w:r>
        <w:rPr>
          <w:rFonts w:hint="eastAsia"/>
          <w:color w:val="000000"/>
          <w:sz w:val="21"/>
          <w:szCs w:val="21"/>
        </w:rPr>
        <w:t>11022-</w:t>
      </w:r>
      <w:r>
        <w:rPr>
          <w:rFonts w:eastAsia="PMingLiU"/>
          <w:color w:val="000000"/>
          <w:sz w:val="21"/>
          <w:szCs w:val="21"/>
        </w:rPr>
        <w:t>2020</w:t>
      </w:r>
      <w:r>
        <w:rPr>
          <w:rFonts w:hint="eastAsia"/>
          <w:color w:val="000000"/>
          <w:sz w:val="21"/>
          <w:szCs w:val="21"/>
        </w:rPr>
        <w:t>中</w:t>
      </w:r>
      <w:r>
        <w:rPr>
          <w:rFonts w:hint="eastAsia"/>
          <w:color w:val="000000"/>
          <w:sz w:val="21"/>
          <w:szCs w:val="21"/>
          <w:lang w:val="en-US" w:eastAsia="zh-CN"/>
        </w:rPr>
        <w:t>5.7</w:t>
      </w:r>
      <w:r>
        <w:rPr>
          <w:rFonts w:hint="eastAsia"/>
          <w:color w:val="000000"/>
          <w:sz w:val="21"/>
          <w:szCs w:val="21"/>
        </w:rPr>
        <w:t>适用。</w:t>
      </w:r>
    </w:p>
    <w:p w14:paraId="71F3F644">
      <w:pPr>
        <w:pStyle w:val="46"/>
        <w:spacing w:before="156" w:after="156" w:line="314" w:lineRule="exact"/>
        <w:ind w:left="0"/>
        <w:rPr>
          <w:rFonts w:hAnsi="黑体"/>
          <w:color w:val="000000"/>
          <w:lang w:val="zh-TW" w:eastAsia="zh-TW" w:bidi="zh-TW"/>
        </w:rPr>
      </w:pPr>
      <w:r>
        <w:rPr>
          <w:rFonts w:hAnsi="黑体"/>
          <w:bCs/>
          <w:lang w:val="zh-TW" w:eastAsia="zh-TW" w:bidi="zh-TW"/>
        </w:rPr>
        <w:t>额定短路持续时间</w:t>
      </w:r>
    </w:p>
    <w:p w14:paraId="446AE447">
      <w:pPr>
        <w:pStyle w:val="144"/>
        <w:spacing w:after="60" w:line="324" w:lineRule="exact"/>
        <w:ind w:firstLine="464" w:firstLineChars="221"/>
        <w:jc w:val="left"/>
        <w:rPr>
          <w:color w:val="000000"/>
          <w:sz w:val="21"/>
          <w:szCs w:val="21"/>
          <w:lang w:eastAsia="zh-CN"/>
        </w:rPr>
      </w:pPr>
      <w:r>
        <w:rPr>
          <w:rFonts w:hint="eastAsia"/>
          <w:color w:val="000000"/>
          <w:sz w:val="21"/>
          <w:szCs w:val="21"/>
          <w:lang w:eastAsia="zh-CN"/>
        </w:rPr>
        <w:t>该</w:t>
      </w:r>
      <w:r>
        <w:rPr>
          <w:color w:val="000000"/>
          <w:sz w:val="21"/>
          <w:szCs w:val="21"/>
          <w:lang w:eastAsia="zh-CN"/>
        </w:rPr>
        <w:t>额定值规定了</w:t>
      </w:r>
      <w:r>
        <w:rPr>
          <w:rFonts w:hint="eastAsia"/>
          <w:color w:val="000000"/>
          <w:sz w:val="21"/>
          <w:szCs w:val="21"/>
          <w:lang w:eastAsia="zh-CN"/>
        </w:rPr>
        <w:t>开关设备和控制设备在合闸状态下能够承载额定短时耐受电流的时间。</w:t>
      </w:r>
    </w:p>
    <w:p w14:paraId="293E4178">
      <w:pPr>
        <w:pStyle w:val="144"/>
        <w:spacing w:after="60" w:line="324" w:lineRule="exact"/>
        <w:ind w:firstLine="464" w:firstLineChars="221"/>
        <w:jc w:val="left"/>
        <w:rPr>
          <w:color w:val="000000"/>
          <w:sz w:val="21"/>
          <w:szCs w:val="21"/>
          <w:lang w:eastAsia="zh-CN"/>
        </w:rPr>
      </w:pPr>
      <w:r>
        <w:rPr>
          <w:rFonts w:hint="eastAsia"/>
          <w:color w:val="000000"/>
          <w:sz w:val="21"/>
          <w:szCs w:val="21"/>
          <w:lang w:eastAsia="zh-CN"/>
        </w:rPr>
        <w:t>额定短路持续时间的</w:t>
      </w:r>
      <w:r>
        <w:rPr>
          <w:color w:val="000000"/>
          <w:sz w:val="21"/>
          <w:szCs w:val="21"/>
          <w:lang w:eastAsia="zh-CN"/>
        </w:rPr>
        <w:t>优选值</w:t>
      </w:r>
      <w:r>
        <w:rPr>
          <w:rFonts w:hint="eastAsia"/>
          <w:color w:val="000000"/>
          <w:sz w:val="21"/>
          <w:szCs w:val="21"/>
          <w:lang w:eastAsia="zh-CN"/>
        </w:rPr>
        <w:t>为 3s。</w:t>
      </w:r>
    </w:p>
    <w:p w14:paraId="2375989B">
      <w:pPr>
        <w:pStyle w:val="144"/>
        <w:spacing w:after="60" w:line="324" w:lineRule="exact"/>
        <w:ind w:firstLine="464" w:firstLineChars="221"/>
        <w:jc w:val="left"/>
        <w:rPr>
          <w:rFonts w:hint="eastAsia" w:eastAsia="PMingLiU"/>
          <w:bCs/>
          <w:color w:val="000000"/>
          <w:sz w:val="21"/>
          <w:szCs w:val="21"/>
          <w:lang w:eastAsia="zh-CN"/>
        </w:rPr>
      </w:pPr>
      <w:r>
        <w:rPr>
          <w:rFonts w:hint="eastAsia" w:eastAsia="PMingLiU"/>
          <w:bCs/>
          <w:color w:val="000000"/>
          <w:sz w:val="21"/>
          <w:szCs w:val="21"/>
          <w:lang w:eastAsia="zh-CN"/>
        </w:rPr>
        <w:t>如果需要,可以选取其他的值,例如2s和4s。</w:t>
      </w:r>
    </w:p>
    <w:p w14:paraId="6AC1C6AB">
      <w:pPr>
        <w:pStyle w:val="46"/>
        <w:spacing w:before="156" w:after="156" w:line="314" w:lineRule="exact"/>
        <w:ind w:left="0"/>
        <w:rPr>
          <w:rFonts w:hAnsi="黑体"/>
          <w:bCs/>
        </w:rPr>
      </w:pPr>
      <w:r>
        <w:rPr>
          <w:rFonts w:hAnsi="黑体"/>
          <w:bCs/>
        </w:rPr>
        <w:t>温升</w:t>
      </w:r>
    </w:p>
    <w:p w14:paraId="0086A07F">
      <w:pPr>
        <w:pStyle w:val="144"/>
        <w:spacing w:after="60" w:line="324" w:lineRule="exact"/>
        <w:ind w:firstLine="420"/>
        <w:rPr>
          <w:rFonts w:eastAsia="PMingLiU"/>
          <w:color w:val="000000"/>
          <w:sz w:val="21"/>
          <w:szCs w:val="21"/>
        </w:rPr>
      </w:pPr>
      <w:r>
        <w:rPr>
          <w:rFonts w:hint="eastAsia"/>
          <w:color w:val="000000"/>
          <w:sz w:val="21"/>
          <w:szCs w:val="21"/>
          <w:lang w:val="en-US" w:eastAsia="zh-CN"/>
        </w:rPr>
        <w:t>分别</w:t>
      </w:r>
      <w:r>
        <w:rPr>
          <w:rFonts w:hint="eastAsia"/>
          <w:color w:val="000000"/>
          <w:sz w:val="21"/>
          <w:szCs w:val="21"/>
          <w:lang w:eastAsia="zh-CN"/>
        </w:rPr>
        <w:t>在</w:t>
      </w:r>
      <w:r>
        <w:rPr>
          <w:rFonts w:hint="eastAsia"/>
          <w:color w:val="000000"/>
          <w:sz w:val="21"/>
          <w:szCs w:val="21"/>
          <w:lang w:val="en-US" w:eastAsia="zh-CN"/>
        </w:rPr>
        <w:t>额定电流、额定短时耐受电流</w:t>
      </w:r>
      <w:r>
        <w:rPr>
          <w:rFonts w:hint="eastAsia"/>
          <w:color w:val="000000"/>
          <w:sz w:val="21"/>
          <w:szCs w:val="21"/>
          <w:lang w:eastAsia="zh-CN"/>
        </w:rPr>
        <w:t>的条件下，当周围空气温度不超过40℃时，开关设备和控制设备任何部分的温升不应超过表</w:t>
      </w:r>
      <w:r>
        <w:rPr>
          <w:rFonts w:hint="eastAsia"/>
          <w:color w:val="000000"/>
          <w:sz w:val="21"/>
          <w:szCs w:val="21"/>
          <w:lang w:val="en-US" w:eastAsia="zh-CN"/>
        </w:rPr>
        <w:t>6</w:t>
      </w:r>
      <w:r>
        <w:rPr>
          <w:rFonts w:hint="eastAsia"/>
          <w:color w:val="000000"/>
          <w:sz w:val="21"/>
          <w:szCs w:val="21"/>
          <w:lang w:eastAsia="zh-CN"/>
        </w:rPr>
        <w:t>规定的温升极限</w:t>
      </w:r>
      <w:r>
        <w:rPr>
          <w:rFonts w:hint="eastAsia"/>
          <w:color w:val="000000"/>
          <w:sz w:val="21"/>
          <w:szCs w:val="21"/>
        </w:rPr>
        <w:t>。</w:t>
      </w:r>
    </w:p>
    <w:p w14:paraId="6CA5A840">
      <w:pPr>
        <w:pStyle w:val="144"/>
        <w:spacing w:after="60" w:line="324" w:lineRule="exact"/>
        <w:ind w:firstLine="420"/>
        <w:rPr>
          <w:rFonts w:hint="eastAsia" w:eastAsia="PMingLiU"/>
          <w:color w:val="000000"/>
          <w:sz w:val="21"/>
          <w:szCs w:val="21"/>
        </w:rPr>
      </w:pPr>
    </w:p>
    <w:p w14:paraId="186E966A">
      <w:pPr>
        <w:pStyle w:val="144"/>
        <w:spacing w:line="360" w:lineRule="auto"/>
        <w:ind w:firstLine="0"/>
        <w:jc w:val="center"/>
        <w:rPr>
          <w:sz w:val="21"/>
          <w:szCs w:val="21"/>
        </w:rPr>
      </w:pPr>
      <w:r>
        <w:rPr>
          <w:rFonts w:hint="eastAsia"/>
          <w:bCs/>
          <w:color w:val="000000"/>
          <w:sz w:val="21"/>
          <w:szCs w:val="21"/>
        </w:rPr>
        <w:t>表</w:t>
      </w:r>
      <w:r>
        <w:rPr>
          <w:bCs/>
          <w:color w:val="000000"/>
          <w:sz w:val="21"/>
          <w:szCs w:val="21"/>
          <w:lang w:val="en-US" w:eastAsia="zh-CN"/>
        </w:rPr>
        <w:t xml:space="preserve">6 </w:t>
      </w:r>
      <w:r>
        <w:rPr>
          <w:rFonts w:hint="eastAsia"/>
          <w:bCs/>
          <w:color w:val="000000"/>
          <w:sz w:val="21"/>
          <w:szCs w:val="21"/>
          <w:lang w:eastAsia="zh-CN"/>
        </w:rPr>
        <w:t>开关</w:t>
      </w:r>
      <w:r>
        <w:rPr>
          <w:rFonts w:hint="eastAsia"/>
          <w:bCs/>
          <w:color w:val="000000"/>
          <w:sz w:val="21"/>
          <w:szCs w:val="21"/>
        </w:rPr>
        <w:t>各部分的温升限值</w:t>
      </w:r>
    </w:p>
    <w:tbl>
      <w:tblPr>
        <w:tblStyle w:val="32"/>
        <w:tblW w:w="0" w:type="auto"/>
        <w:jc w:val="center"/>
        <w:tblLayout w:type="fixed"/>
        <w:tblCellMar>
          <w:top w:w="0" w:type="dxa"/>
          <w:left w:w="10" w:type="dxa"/>
          <w:bottom w:w="0" w:type="dxa"/>
          <w:right w:w="10" w:type="dxa"/>
        </w:tblCellMar>
      </w:tblPr>
      <w:tblGrid>
        <w:gridCol w:w="3990"/>
        <w:gridCol w:w="3943"/>
      </w:tblGrid>
      <w:tr w14:paraId="6540F132">
        <w:tblPrEx>
          <w:tblCellMar>
            <w:top w:w="0" w:type="dxa"/>
            <w:left w:w="10" w:type="dxa"/>
            <w:bottom w:w="0" w:type="dxa"/>
            <w:right w:w="10" w:type="dxa"/>
          </w:tblCellMar>
        </w:tblPrEx>
        <w:trPr>
          <w:trHeight w:val="749" w:hRule="exact"/>
          <w:jc w:val="center"/>
        </w:trPr>
        <w:tc>
          <w:tcPr>
            <w:tcW w:w="3990" w:type="dxa"/>
            <w:tcBorders>
              <w:top w:val="single" w:color="auto" w:sz="4" w:space="0"/>
              <w:left w:val="single" w:color="auto" w:sz="4" w:space="0"/>
            </w:tcBorders>
            <w:shd w:val="clear" w:color="auto" w:fill="FFFFFF"/>
            <w:vAlign w:val="center"/>
          </w:tcPr>
          <w:p w14:paraId="07BF91A7">
            <w:pPr>
              <w:pStyle w:val="151"/>
              <w:spacing w:line="240" w:lineRule="auto"/>
              <w:ind w:firstLine="0"/>
              <w:jc w:val="center"/>
              <w:rPr>
                <w:sz w:val="18"/>
                <w:szCs w:val="18"/>
              </w:rPr>
            </w:pPr>
            <w:r>
              <w:rPr>
                <w:rFonts w:hint="eastAsia"/>
                <w:color w:val="000000"/>
                <w:sz w:val="18"/>
                <w:szCs w:val="18"/>
              </w:rPr>
              <w:t>部件或部位</w:t>
            </w:r>
          </w:p>
        </w:tc>
        <w:tc>
          <w:tcPr>
            <w:tcW w:w="3943" w:type="dxa"/>
            <w:tcBorders>
              <w:top w:val="single" w:color="auto" w:sz="4" w:space="0"/>
              <w:left w:val="single" w:color="auto" w:sz="4" w:space="0"/>
              <w:right w:val="single" w:color="auto" w:sz="4" w:space="0"/>
            </w:tcBorders>
            <w:shd w:val="clear" w:color="auto" w:fill="FFFFFF"/>
            <w:vAlign w:val="center"/>
          </w:tcPr>
          <w:p w14:paraId="0AC91419">
            <w:pPr>
              <w:pStyle w:val="151"/>
              <w:spacing w:line="240" w:lineRule="auto"/>
              <w:ind w:firstLine="0"/>
              <w:jc w:val="center"/>
              <w:rPr>
                <w:sz w:val="18"/>
                <w:szCs w:val="18"/>
              </w:rPr>
            </w:pPr>
            <w:r>
              <w:rPr>
                <w:rFonts w:hint="eastAsia"/>
                <w:color w:val="000000"/>
                <w:sz w:val="18"/>
                <w:szCs w:val="18"/>
              </w:rPr>
              <w:t>温升限值</w:t>
            </w:r>
          </w:p>
          <w:p w14:paraId="53C5F5DA">
            <w:pPr>
              <w:pStyle w:val="151"/>
              <w:spacing w:line="240" w:lineRule="auto"/>
              <w:ind w:firstLine="0"/>
              <w:jc w:val="center"/>
              <w:rPr>
                <w:sz w:val="18"/>
                <w:szCs w:val="18"/>
              </w:rPr>
            </w:pPr>
            <w:r>
              <w:rPr>
                <w:rFonts w:hint="eastAsia"/>
                <w:color w:val="000000"/>
                <w:sz w:val="18"/>
                <w:szCs w:val="18"/>
                <w:lang w:val="en-US" w:eastAsia="en-US" w:bidi="en-US"/>
              </w:rPr>
              <w:t>K</w:t>
            </w:r>
          </w:p>
        </w:tc>
      </w:tr>
      <w:tr w14:paraId="68AE8720">
        <w:tblPrEx>
          <w:tblCellMar>
            <w:top w:w="0" w:type="dxa"/>
            <w:left w:w="10" w:type="dxa"/>
            <w:bottom w:w="0" w:type="dxa"/>
            <w:right w:w="10" w:type="dxa"/>
          </w:tblCellMar>
        </w:tblPrEx>
        <w:trPr>
          <w:trHeight w:val="971" w:hRule="exact"/>
          <w:jc w:val="center"/>
        </w:trPr>
        <w:tc>
          <w:tcPr>
            <w:tcW w:w="3990" w:type="dxa"/>
            <w:tcBorders>
              <w:top w:val="single" w:color="auto" w:sz="4" w:space="0"/>
              <w:left w:val="single" w:color="auto" w:sz="4" w:space="0"/>
            </w:tcBorders>
            <w:shd w:val="clear" w:color="auto" w:fill="FFFFFF"/>
            <w:vAlign w:val="center"/>
          </w:tcPr>
          <w:p w14:paraId="35ADF041">
            <w:pPr>
              <w:pStyle w:val="151"/>
              <w:spacing w:line="240" w:lineRule="auto"/>
              <w:ind w:firstLine="0"/>
              <w:jc w:val="left"/>
              <w:rPr>
                <w:sz w:val="18"/>
                <w:szCs w:val="18"/>
              </w:rPr>
            </w:pPr>
            <w:r>
              <w:rPr>
                <w:rFonts w:hint="eastAsia"/>
                <w:color w:val="000000"/>
                <w:sz w:val="18"/>
                <w:szCs w:val="18"/>
              </w:rPr>
              <w:t>主电路半导体器件的结温和</w:t>
            </w:r>
            <w:r>
              <w:rPr>
                <w:rFonts w:hint="eastAsia"/>
                <w:color w:val="000000"/>
                <w:sz w:val="18"/>
                <w:szCs w:val="18"/>
                <w:lang w:eastAsia="zh-CN"/>
              </w:rPr>
              <w:t>可触及的表面等部位</w:t>
            </w:r>
            <w:r>
              <w:rPr>
                <w:rFonts w:hint="eastAsia"/>
                <w:color w:val="000000"/>
                <w:sz w:val="18"/>
                <w:szCs w:val="18"/>
              </w:rPr>
              <w:t>温升</w:t>
            </w:r>
          </w:p>
        </w:tc>
        <w:tc>
          <w:tcPr>
            <w:tcW w:w="3943" w:type="dxa"/>
            <w:tcBorders>
              <w:top w:val="single" w:color="auto" w:sz="4" w:space="0"/>
              <w:left w:val="single" w:color="auto" w:sz="4" w:space="0"/>
              <w:right w:val="single" w:color="auto" w:sz="4" w:space="0"/>
            </w:tcBorders>
            <w:shd w:val="clear" w:color="auto" w:fill="FFFFFF"/>
            <w:vAlign w:val="center"/>
          </w:tcPr>
          <w:p w14:paraId="24D6CD46">
            <w:pPr>
              <w:pStyle w:val="151"/>
              <w:spacing w:line="240" w:lineRule="auto"/>
              <w:ind w:firstLine="0"/>
              <w:jc w:val="center"/>
              <w:rPr>
                <w:sz w:val="18"/>
                <w:szCs w:val="18"/>
              </w:rPr>
            </w:pPr>
            <w:r>
              <w:rPr>
                <w:rFonts w:hint="eastAsia"/>
                <w:color w:val="000000"/>
                <w:sz w:val="18"/>
                <w:szCs w:val="18"/>
              </w:rPr>
              <w:t>由</w:t>
            </w:r>
            <w:r>
              <w:rPr>
                <w:rFonts w:hint="eastAsia"/>
                <w:color w:val="000000"/>
                <w:sz w:val="18"/>
                <w:szCs w:val="18"/>
                <w:lang w:eastAsia="zh-CN"/>
              </w:rPr>
              <w:t>相关</w:t>
            </w:r>
            <w:r>
              <w:rPr>
                <w:rFonts w:hint="eastAsia"/>
                <w:color w:val="000000"/>
                <w:sz w:val="18"/>
                <w:szCs w:val="18"/>
              </w:rPr>
              <w:t>专用产品标准</w:t>
            </w:r>
            <w:r>
              <w:rPr>
                <w:rFonts w:hint="eastAsia"/>
                <w:color w:val="000000"/>
                <w:sz w:val="18"/>
                <w:szCs w:val="18"/>
                <w:lang w:eastAsia="zh-CN"/>
              </w:rPr>
              <w:t>另行</w:t>
            </w:r>
            <w:r>
              <w:rPr>
                <w:rFonts w:hint="eastAsia"/>
                <w:color w:val="000000"/>
                <w:sz w:val="18"/>
                <w:szCs w:val="18"/>
              </w:rPr>
              <w:t>规定</w:t>
            </w:r>
          </w:p>
        </w:tc>
      </w:tr>
      <w:tr w14:paraId="682520F5">
        <w:tblPrEx>
          <w:tblCellMar>
            <w:top w:w="0" w:type="dxa"/>
            <w:left w:w="10" w:type="dxa"/>
            <w:bottom w:w="0" w:type="dxa"/>
            <w:right w:w="10" w:type="dxa"/>
          </w:tblCellMar>
        </w:tblPrEx>
        <w:trPr>
          <w:trHeight w:val="1454" w:hRule="exact"/>
          <w:jc w:val="center"/>
        </w:trPr>
        <w:tc>
          <w:tcPr>
            <w:tcW w:w="3990" w:type="dxa"/>
            <w:tcBorders>
              <w:top w:val="single" w:color="auto" w:sz="4" w:space="0"/>
              <w:left w:val="single" w:color="auto" w:sz="4" w:space="0"/>
            </w:tcBorders>
            <w:shd w:val="clear" w:color="auto" w:fill="FFFFFF"/>
            <w:vAlign w:val="center"/>
          </w:tcPr>
          <w:p w14:paraId="1551292E">
            <w:pPr>
              <w:pStyle w:val="151"/>
              <w:spacing w:line="240" w:lineRule="auto"/>
              <w:ind w:firstLine="0"/>
              <w:jc w:val="left"/>
              <w:rPr>
                <w:color w:val="000000"/>
                <w:sz w:val="18"/>
                <w:szCs w:val="18"/>
              </w:rPr>
            </w:pPr>
            <w:r>
              <w:rPr>
                <w:rFonts w:hint="eastAsia"/>
                <w:color w:val="000000"/>
                <w:sz w:val="18"/>
                <w:szCs w:val="18"/>
              </w:rPr>
              <w:t xml:space="preserve">主电路半导体器件与导体的连接处 </w:t>
            </w:r>
          </w:p>
          <w:p w14:paraId="139FC1DE">
            <w:pPr>
              <w:pStyle w:val="151"/>
              <w:spacing w:line="240" w:lineRule="auto"/>
              <w:ind w:firstLine="0"/>
              <w:jc w:val="left"/>
              <w:rPr>
                <w:sz w:val="18"/>
                <w:szCs w:val="18"/>
              </w:rPr>
            </w:pPr>
            <w:r>
              <w:rPr>
                <w:rFonts w:hint="eastAsia"/>
                <w:color w:val="000000"/>
                <w:sz w:val="18"/>
                <w:szCs w:val="18"/>
              </w:rPr>
              <w:t>——裸铜</w:t>
            </w:r>
          </w:p>
          <w:p w14:paraId="643D251E">
            <w:pPr>
              <w:pStyle w:val="151"/>
              <w:spacing w:line="240" w:lineRule="auto"/>
              <w:ind w:firstLine="0"/>
              <w:jc w:val="left"/>
              <w:rPr>
                <w:sz w:val="18"/>
                <w:szCs w:val="18"/>
              </w:rPr>
            </w:pPr>
            <w:r>
              <w:rPr>
                <w:rFonts w:hint="eastAsia"/>
                <w:color w:val="000000"/>
                <w:sz w:val="18"/>
                <w:szCs w:val="18"/>
              </w:rPr>
              <w:t>——锡镀层</w:t>
            </w:r>
          </w:p>
          <w:p w14:paraId="7888E793">
            <w:pPr>
              <w:pStyle w:val="151"/>
              <w:spacing w:line="240" w:lineRule="auto"/>
              <w:ind w:firstLine="0"/>
              <w:jc w:val="left"/>
              <w:rPr>
                <w:sz w:val="18"/>
                <w:szCs w:val="18"/>
              </w:rPr>
            </w:pPr>
            <w:r>
              <w:rPr>
                <w:rFonts w:hint="eastAsia"/>
                <w:color w:val="000000"/>
                <w:sz w:val="18"/>
                <w:szCs w:val="18"/>
              </w:rPr>
              <w:t>——银镀层</w:t>
            </w:r>
          </w:p>
        </w:tc>
        <w:tc>
          <w:tcPr>
            <w:tcW w:w="3943" w:type="dxa"/>
            <w:tcBorders>
              <w:top w:val="single" w:color="auto" w:sz="4" w:space="0"/>
              <w:left w:val="single" w:color="auto" w:sz="4" w:space="0"/>
              <w:right w:val="single" w:color="auto" w:sz="4" w:space="0"/>
            </w:tcBorders>
            <w:shd w:val="clear" w:color="auto" w:fill="FFFFFF"/>
            <w:vAlign w:val="bottom"/>
          </w:tcPr>
          <w:p w14:paraId="76228B5D">
            <w:pPr>
              <w:pStyle w:val="151"/>
              <w:spacing w:line="240" w:lineRule="auto"/>
              <w:ind w:firstLine="0"/>
              <w:jc w:val="center"/>
              <w:rPr>
                <w:sz w:val="18"/>
                <w:szCs w:val="18"/>
                <w:lang w:val="en-US" w:eastAsia="zh-CN"/>
              </w:rPr>
            </w:pPr>
            <w:r>
              <w:rPr>
                <w:rFonts w:hint="eastAsia"/>
                <w:sz w:val="18"/>
                <w:szCs w:val="18"/>
                <w:lang w:val="en-US" w:eastAsia="zh-CN"/>
              </w:rPr>
              <w:t>45</w:t>
            </w:r>
          </w:p>
          <w:p w14:paraId="586DF19B">
            <w:pPr>
              <w:pStyle w:val="151"/>
              <w:spacing w:line="240" w:lineRule="auto"/>
              <w:ind w:firstLine="0"/>
              <w:jc w:val="center"/>
              <w:rPr>
                <w:sz w:val="18"/>
                <w:szCs w:val="18"/>
                <w:lang w:val="en-US" w:eastAsia="zh-CN"/>
              </w:rPr>
            </w:pPr>
            <w:r>
              <w:rPr>
                <w:rFonts w:hint="eastAsia"/>
                <w:sz w:val="18"/>
                <w:szCs w:val="18"/>
                <w:lang w:val="en-US" w:eastAsia="zh-CN"/>
              </w:rPr>
              <w:t>55</w:t>
            </w:r>
          </w:p>
          <w:p w14:paraId="30857133">
            <w:pPr>
              <w:pStyle w:val="151"/>
              <w:spacing w:line="240" w:lineRule="auto"/>
              <w:ind w:firstLine="0"/>
              <w:jc w:val="center"/>
              <w:rPr>
                <w:sz w:val="18"/>
                <w:szCs w:val="18"/>
                <w:lang w:val="en-US" w:eastAsia="zh-CN"/>
              </w:rPr>
            </w:pPr>
            <w:r>
              <w:rPr>
                <w:rFonts w:hint="eastAsia"/>
                <w:sz w:val="18"/>
                <w:szCs w:val="18"/>
                <w:lang w:val="en-US" w:eastAsia="zh-CN"/>
              </w:rPr>
              <w:t>70</w:t>
            </w:r>
          </w:p>
        </w:tc>
      </w:tr>
      <w:tr w14:paraId="6F2551D9">
        <w:tblPrEx>
          <w:tblCellMar>
            <w:top w:w="0" w:type="dxa"/>
            <w:left w:w="10" w:type="dxa"/>
            <w:bottom w:w="0" w:type="dxa"/>
            <w:right w:w="10" w:type="dxa"/>
          </w:tblCellMar>
        </w:tblPrEx>
        <w:trPr>
          <w:trHeight w:val="1114" w:hRule="exact"/>
          <w:jc w:val="center"/>
        </w:trPr>
        <w:tc>
          <w:tcPr>
            <w:tcW w:w="3990" w:type="dxa"/>
            <w:tcBorders>
              <w:top w:val="single" w:color="auto" w:sz="4" w:space="0"/>
              <w:left w:val="single" w:color="auto" w:sz="4" w:space="0"/>
              <w:bottom w:val="single" w:color="auto" w:sz="4" w:space="0"/>
            </w:tcBorders>
            <w:shd w:val="clear" w:color="auto" w:fill="FFFFFF"/>
            <w:vAlign w:val="center"/>
          </w:tcPr>
          <w:p w14:paraId="5BE62CD1">
            <w:pPr>
              <w:pStyle w:val="151"/>
              <w:spacing w:line="240" w:lineRule="auto"/>
              <w:ind w:firstLine="0"/>
              <w:jc w:val="left"/>
              <w:rPr>
                <w:color w:val="000000"/>
                <w:sz w:val="18"/>
                <w:szCs w:val="18"/>
              </w:rPr>
            </w:pPr>
            <w:r>
              <w:rPr>
                <w:rFonts w:hint="eastAsia"/>
                <w:color w:val="000000"/>
                <w:sz w:val="18"/>
                <w:szCs w:val="18"/>
              </w:rPr>
              <w:t xml:space="preserve">母线（非连接处） </w:t>
            </w:r>
          </w:p>
          <w:p w14:paraId="78920E45">
            <w:pPr>
              <w:pStyle w:val="151"/>
              <w:spacing w:line="240" w:lineRule="auto"/>
              <w:ind w:firstLine="0"/>
              <w:jc w:val="left"/>
              <w:rPr>
                <w:sz w:val="18"/>
                <w:szCs w:val="18"/>
              </w:rPr>
            </w:pPr>
            <w:r>
              <w:rPr>
                <w:rFonts w:hint="eastAsia"/>
                <w:color w:val="000000"/>
                <w:sz w:val="18"/>
                <w:szCs w:val="18"/>
              </w:rPr>
              <w:t>——铜</w:t>
            </w:r>
          </w:p>
          <w:p w14:paraId="57A0A0C8">
            <w:pPr>
              <w:pStyle w:val="151"/>
              <w:spacing w:line="240" w:lineRule="auto"/>
              <w:ind w:firstLine="0"/>
              <w:jc w:val="left"/>
              <w:rPr>
                <w:sz w:val="18"/>
                <w:szCs w:val="18"/>
              </w:rPr>
            </w:pPr>
            <w:r>
              <w:rPr>
                <w:rFonts w:hint="eastAsia"/>
                <w:color w:val="000000"/>
                <w:sz w:val="18"/>
                <w:szCs w:val="18"/>
              </w:rPr>
              <w:t>——铝</w:t>
            </w:r>
          </w:p>
        </w:tc>
        <w:tc>
          <w:tcPr>
            <w:tcW w:w="3943" w:type="dxa"/>
            <w:tcBorders>
              <w:top w:val="single" w:color="auto" w:sz="4" w:space="0"/>
              <w:left w:val="single" w:color="auto" w:sz="4" w:space="0"/>
              <w:bottom w:val="single" w:color="auto" w:sz="4" w:space="0"/>
              <w:right w:val="single" w:color="auto" w:sz="4" w:space="0"/>
            </w:tcBorders>
            <w:shd w:val="clear" w:color="auto" w:fill="FFFFFF"/>
            <w:vAlign w:val="bottom"/>
          </w:tcPr>
          <w:p w14:paraId="1A5ED00D">
            <w:pPr>
              <w:pStyle w:val="151"/>
              <w:spacing w:line="240" w:lineRule="auto"/>
              <w:ind w:firstLine="0"/>
              <w:jc w:val="center"/>
              <w:rPr>
                <w:sz w:val="18"/>
                <w:szCs w:val="18"/>
              </w:rPr>
            </w:pPr>
            <w:r>
              <w:rPr>
                <w:rFonts w:hint="eastAsia"/>
                <w:color w:val="000000"/>
                <w:sz w:val="18"/>
                <w:szCs w:val="18"/>
              </w:rPr>
              <w:t>35</w:t>
            </w:r>
          </w:p>
          <w:p w14:paraId="1F211675">
            <w:pPr>
              <w:pStyle w:val="151"/>
              <w:spacing w:line="240" w:lineRule="auto"/>
              <w:ind w:firstLine="0"/>
              <w:jc w:val="center"/>
              <w:rPr>
                <w:sz w:val="18"/>
                <w:szCs w:val="18"/>
              </w:rPr>
            </w:pPr>
            <w:r>
              <w:rPr>
                <w:rFonts w:hint="eastAsia"/>
                <w:color w:val="000000"/>
                <w:sz w:val="18"/>
                <w:szCs w:val="18"/>
              </w:rPr>
              <w:t>25</w:t>
            </w:r>
          </w:p>
        </w:tc>
      </w:tr>
      <w:tr w14:paraId="5CA059EC">
        <w:tblPrEx>
          <w:tblCellMar>
            <w:top w:w="0" w:type="dxa"/>
            <w:left w:w="10" w:type="dxa"/>
            <w:bottom w:w="0" w:type="dxa"/>
            <w:right w:w="10" w:type="dxa"/>
          </w:tblCellMar>
        </w:tblPrEx>
        <w:trPr>
          <w:trHeight w:val="1114" w:hRule="exact"/>
          <w:jc w:val="center"/>
        </w:trPr>
        <w:tc>
          <w:tcPr>
            <w:tcW w:w="3990" w:type="dxa"/>
            <w:tcBorders>
              <w:top w:val="single" w:color="auto" w:sz="4" w:space="0"/>
              <w:left w:val="single" w:color="auto" w:sz="4" w:space="0"/>
              <w:bottom w:val="single" w:color="auto" w:sz="4" w:space="0"/>
            </w:tcBorders>
            <w:shd w:val="clear" w:color="auto" w:fill="FFFFFF"/>
            <w:vAlign w:val="center"/>
          </w:tcPr>
          <w:p w14:paraId="312BD665">
            <w:pPr>
              <w:pStyle w:val="151"/>
              <w:spacing w:line="240" w:lineRule="auto"/>
              <w:ind w:firstLine="0"/>
              <w:jc w:val="left"/>
              <w:rPr>
                <w:rFonts w:hint="eastAsia"/>
                <w:color w:val="000000"/>
                <w:sz w:val="18"/>
                <w:szCs w:val="18"/>
              </w:rPr>
            </w:pPr>
            <w:r>
              <w:rPr>
                <w:rFonts w:hint="eastAsia"/>
                <w:szCs w:val="21"/>
              </w:rPr>
              <w:t>外部连接的端子、可触及表面等部位温升限值</w:t>
            </w:r>
          </w:p>
        </w:tc>
        <w:tc>
          <w:tcPr>
            <w:tcW w:w="3943" w:type="dxa"/>
            <w:tcBorders>
              <w:top w:val="single" w:color="auto" w:sz="4" w:space="0"/>
              <w:left w:val="single" w:color="auto" w:sz="4" w:space="0"/>
              <w:bottom w:val="single" w:color="auto" w:sz="4" w:space="0"/>
              <w:right w:val="single" w:color="auto" w:sz="4" w:space="0"/>
            </w:tcBorders>
            <w:shd w:val="clear" w:color="auto" w:fill="FFFFFF"/>
            <w:vAlign w:val="bottom"/>
          </w:tcPr>
          <w:p w14:paraId="5F48A68C">
            <w:pPr>
              <w:pStyle w:val="151"/>
              <w:spacing w:line="240" w:lineRule="auto"/>
              <w:ind w:firstLine="0"/>
              <w:jc w:val="both"/>
              <w:rPr>
                <w:rFonts w:hint="default" w:eastAsia="宋体"/>
                <w:color w:val="000000"/>
                <w:sz w:val="18"/>
                <w:szCs w:val="18"/>
                <w:lang w:val="en-US" w:eastAsia="zh-CN"/>
              </w:rPr>
            </w:pPr>
            <w:r>
              <w:rPr>
                <w:rFonts w:hint="eastAsia"/>
                <w:color w:val="000000"/>
                <w:sz w:val="18"/>
                <w:szCs w:val="18"/>
                <w:lang w:eastAsia="zh-CN"/>
              </w:rPr>
              <w:t>参照标准</w:t>
            </w:r>
            <w:r>
              <w:rPr>
                <w:rFonts w:hint="eastAsia"/>
                <w:color w:val="000000"/>
                <w:sz w:val="18"/>
                <w:szCs w:val="18"/>
                <w:lang w:val="en-US" w:eastAsia="zh-CN"/>
              </w:rPr>
              <w:t>GB1102中4.5.2第4条</w:t>
            </w:r>
          </w:p>
        </w:tc>
      </w:tr>
    </w:tbl>
    <w:p w14:paraId="7C87D825">
      <w:pPr>
        <w:pStyle w:val="146"/>
        <w:spacing w:after="240" w:line="314" w:lineRule="exact"/>
        <w:ind w:firstLine="0"/>
        <w:jc w:val="left"/>
        <w:rPr>
          <w:rFonts w:eastAsia="PMingLiU"/>
          <w:bCs/>
          <w:szCs w:val="21"/>
        </w:rPr>
      </w:pPr>
    </w:p>
    <w:p w14:paraId="32C94EB9">
      <w:pPr>
        <w:pStyle w:val="45"/>
        <w:numPr>
          <w:ilvl w:val="1"/>
          <w:numId w:val="2"/>
        </w:numPr>
        <w:adjustRightInd w:val="0"/>
        <w:snapToGrid w:val="0"/>
        <w:spacing w:before="156" w:beforeLines="50" w:after="156" w:afterLines="50"/>
        <w:ind w:left="0"/>
        <w:outlineLvl w:val="2"/>
        <w:rPr>
          <w:rFonts w:eastAsia="PMingLiU"/>
          <w:bCs/>
          <w:szCs w:val="21"/>
        </w:rPr>
      </w:pPr>
      <w:bookmarkStart w:id="57" w:name="_Toc123130258"/>
      <w:r>
        <w:t>电磁兼容</w:t>
      </w:r>
      <w:bookmarkEnd w:id="57"/>
    </w:p>
    <w:p w14:paraId="124C4A17">
      <w:pPr>
        <w:pStyle w:val="46"/>
        <w:spacing w:before="156" w:after="156"/>
        <w:ind w:left="0"/>
        <w:rPr>
          <w:lang w:val="zh-TW" w:eastAsia="zh-TW" w:bidi="zh-TW"/>
        </w:rPr>
      </w:pPr>
      <w:r>
        <w:rPr>
          <w:rFonts w:hint="eastAsia"/>
          <w:lang w:val="zh-TW" w:eastAsia="zh-TW" w:bidi="zh-TW"/>
        </w:rPr>
        <w:t>开关的辅助和控制回路</w:t>
      </w:r>
      <w:r>
        <w:rPr>
          <w:rFonts w:hint="eastAsia"/>
          <w:lang w:val="zh-TW" w:bidi="zh-TW"/>
        </w:rPr>
        <w:t>兼容性</w:t>
      </w:r>
    </w:p>
    <w:p w14:paraId="63DB46D3">
      <w:pPr>
        <w:pStyle w:val="144"/>
        <w:spacing w:line="374" w:lineRule="exact"/>
        <w:ind w:firstLine="420"/>
        <w:rPr>
          <w:bCs/>
          <w:sz w:val="21"/>
          <w:szCs w:val="21"/>
          <w:lang w:val="en-US" w:eastAsia="zh-CN"/>
        </w:rPr>
      </w:pPr>
      <w:r>
        <w:rPr>
          <w:rFonts w:hint="eastAsia"/>
          <w:bCs/>
          <w:sz w:val="21"/>
          <w:szCs w:val="21"/>
          <w:lang w:val="en-US" w:eastAsia="zh-CN"/>
        </w:rPr>
        <w:t>开关的辅助和控制回路应符合GB/T</w:t>
      </w:r>
      <w:r>
        <w:rPr>
          <w:bCs/>
          <w:sz w:val="21"/>
          <w:szCs w:val="21"/>
          <w:lang w:val="en-US" w:eastAsia="zh-CN"/>
        </w:rPr>
        <w:t xml:space="preserve"> </w:t>
      </w:r>
      <w:r>
        <w:rPr>
          <w:rFonts w:hint="eastAsia"/>
          <w:bCs/>
          <w:sz w:val="21"/>
          <w:szCs w:val="21"/>
          <w:lang w:val="en-US" w:eastAsia="zh-CN"/>
        </w:rPr>
        <w:t>11022-2020的7.9.2和7.9.3的要求。</w:t>
      </w:r>
    </w:p>
    <w:p w14:paraId="4C2BD1CA">
      <w:pPr>
        <w:pStyle w:val="46"/>
        <w:spacing w:before="156" w:after="156"/>
        <w:ind w:left="0"/>
        <w:rPr>
          <w:lang w:val="zh-TW" w:eastAsia="zh-TW" w:bidi="zh-TW"/>
        </w:rPr>
      </w:pPr>
      <w:r>
        <w:rPr>
          <w:rFonts w:hint="eastAsia"/>
          <w:lang w:val="zh-TW" w:eastAsia="zh-TW" w:bidi="zh-TW"/>
        </w:rPr>
        <w:t>抗扰度试验</w:t>
      </w:r>
    </w:p>
    <w:p w14:paraId="3C34417C">
      <w:pPr>
        <w:pStyle w:val="144"/>
        <w:spacing w:line="374" w:lineRule="exact"/>
        <w:ind w:firstLine="420"/>
        <w:rPr>
          <w:sz w:val="21"/>
          <w:szCs w:val="21"/>
        </w:rPr>
      </w:pPr>
      <w:r>
        <w:rPr>
          <w:rFonts w:hint="eastAsia"/>
          <w:color w:val="000000"/>
          <w:sz w:val="21"/>
          <w:szCs w:val="21"/>
        </w:rPr>
        <w:t>如果合同要求，</w:t>
      </w:r>
      <w:r>
        <w:rPr>
          <w:rFonts w:hint="eastAsia"/>
          <w:color w:val="000000"/>
          <w:sz w:val="21"/>
          <w:szCs w:val="21"/>
          <w:lang w:eastAsia="zh-CN"/>
        </w:rPr>
        <w:t>开关</w:t>
      </w:r>
      <w:r>
        <w:rPr>
          <w:rFonts w:hint="eastAsia"/>
          <w:color w:val="000000"/>
          <w:sz w:val="21"/>
          <w:szCs w:val="21"/>
        </w:rPr>
        <w:t>抗扰度电平检查应作为选择性试验项目。试验应尽可能在与规定的电气运行条件一致的情况下进行。</w:t>
      </w:r>
    </w:p>
    <w:p w14:paraId="2ED4273E">
      <w:pPr>
        <w:pStyle w:val="46"/>
        <w:spacing w:before="156" w:after="156"/>
        <w:ind w:left="0"/>
        <w:rPr>
          <w:lang w:val="zh-TW" w:eastAsia="zh-TW" w:bidi="zh-TW"/>
        </w:rPr>
      </w:pPr>
      <w:r>
        <w:rPr>
          <w:rFonts w:hint="eastAsia"/>
          <w:lang w:val="zh-TW" w:eastAsia="zh-TW" w:bidi="zh-TW"/>
        </w:rPr>
        <w:t>射频辐射和传导骚扰试验</w:t>
      </w:r>
    </w:p>
    <w:p w14:paraId="2286919A">
      <w:pPr>
        <w:pStyle w:val="144"/>
        <w:spacing w:line="374" w:lineRule="exact"/>
        <w:ind w:firstLine="400"/>
        <w:jc w:val="left"/>
        <w:rPr>
          <w:sz w:val="21"/>
          <w:szCs w:val="21"/>
        </w:rPr>
      </w:pPr>
      <w:r>
        <w:rPr>
          <w:rFonts w:hint="eastAsia"/>
          <w:color w:val="000000"/>
          <w:sz w:val="21"/>
          <w:szCs w:val="21"/>
        </w:rPr>
        <w:t>对射频辐射和传导骚扰的要求可另行规定，且规定应针对实际负载。</w:t>
      </w:r>
    </w:p>
    <w:p w14:paraId="446D9818">
      <w:pPr>
        <w:pStyle w:val="45"/>
        <w:numPr>
          <w:ilvl w:val="1"/>
          <w:numId w:val="2"/>
        </w:numPr>
        <w:adjustRightInd w:val="0"/>
        <w:snapToGrid w:val="0"/>
        <w:spacing w:before="156" w:beforeLines="50" w:after="156" w:afterLines="50"/>
        <w:ind w:left="0"/>
        <w:outlineLvl w:val="2"/>
        <w:rPr>
          <w:rFonts w:eastAsia="PMingLiU"/>
          <w:bCs/>
          <w:szCs w:val="21"/>
        </w:rPr>
      </w:pPr>
      <w:bookmarkStart w:id="58" w:name="_Toc123130259"/>
      <w:r>
        <w:t>外壳防护等级</w:t>
      </w:r>
      <w:bookmarkEnd w:id="58"/>
    </w:p>
    <w:p w14:paraId="276655A0">
      <w:pPr>
        <w:pStyle w:val="146"/>
        <w:spacing w:after="240" w:line="314" w:lineRule="exact"/>
        <w:ind w:firstLine="0"/>
        <w:jc w:val="left"/>
        <w:rPr>
          <w:rFonts w:eastAsia="PMingLiU"/>
          <w:color w:val="000000"/>
          <w:sz w:val="21"/>
          <w:szCs w:val="21"/>
          <w:highlight w:val="yellow"/>
        </w:rPr>
      </w:pPr>
      <w:r>
        <w:rPr>
          <w:rFonts w:hint="eastAsia"/>
          <w:bCs/>
          <w:szCs w:val="21"/>
          <w:lang w:val="en-US" w:eastAsia="zh-CN"/>
        </w:rPr>
        <w:t xml:space="preserve">   </w:t>
      </w:r>
      <w:r>
        <w:rPr>
          <w:rFonts w:hint="eastAsia"/>
          <w:sz w:val="21"/>
          <w:szCs w:val="21"/>
          <w:lang w:val="en-US" w:eastAsia="zh-CN"/>
        </w:rPr>
        <w:t xml:space="preserve">  开关的外壳</w:t>
      </w:r>
      <w:bookmarkEnd w:id="55"/>
      <w:bookmarkStart w:id="59" w:name="_Hlk44494585"/>
      <w:r>
        <w:rPr>
          <w:rFonts w:hint="eastAsia"/>
          <w:sz w:val="21"/>
          <w:szCs w:val="21"/>
          <w:lang w:val="en-US" w:eastAsia="zh-CN"/>
        </w:rPr>
        <w:t>防护等级最低要求为IP</w:t>
      </w:r>
      <w:r>
        <w:rPr>
          <w:sz w:val="21"/>
          <w:szCs w:val="21"/>
          <w:lang w:val="en-US" w:eastAsia="zh-CN"/>
        </w:rPr>
        <w:t xml:space="preserve"> </w:t>
      </w:r>
      <w:r>
        <w:rPr>
          <w:rFonts w:hint="eastAsia"/>
          <w:sz w:val="21"/>
          <w:szCs w:val="21"/>
          <w:lang w:val="en-US" w:eastAsia="zh-CN"/>
        </w:rPr>
        <w:t>2X，其他</w:t>
      </w:r>
      <w:r>
        <w:rPr>
          <w:sz w:val="21"/>
          <w:szCs w:val="21"/>
          <w:lang w:val="en-US" w:eastAsia="zh-CN"/>
        </w:rPr>
        <w:t>要求</w:t>
      </w:r>
      <w:r>
        <w:rPr>
          <w:rFonts w:hint="eastAsia"/>
          <w:sz w:val="21"/>
          <w:szCs w:val="21"/>
          <w:lang w:val="en-US" w:eastAsia="zh-CN"/>
        </w:rPr>
        <w:t>可</w:t>
      </w:r>
      <w:r>
        <w:rPr>
          <w:sz w:val="21"/>
          <w:szCs w:val="21"/>
          <w:lang w:val="en-US" w:eastAsia="zh-CN"/>
        </w:rPr>
        <w:t>在合同中</w:t>
      </w:r>
      <w:r>
        <w:rPr>
          <w:rFonts w:hint="eastAsia"/>
          <w:sz w:val="21"/>
          <w:szCs w:val="21"/>
          <w:lang w:val="en-US" w:eastAsia="zh-CN"/>
        </w:rPr>
        <w:t>另行</w:t>
      </w:r>
      <w:r>
        <w:rPr>
          <w:sz w:val="21"/>
          <w:szCs w:val="21"/>
          <w:lang w:val="en-US" w:eastAsia="zh-CN"/>
        </w:rPr>
        <w:t>规定</w:t>
      </w:r>
      <w:r>
        <w:rPr>
          <w:rFonts w:hint="eastAsia"/>
          <w:sz w:val="21"/>
          <w:szCs w:val="21"/>
          <w:lang w:val="en-US" w:eastAsia="zh-CN"/>
        </w:rPr>
        <w:t>。</w:t>
      </w:r>
    </w:p>
    <w:bookmarkEnd w:id="59"/>
    <w:p w14:paraId="0E2836BB">
      <w:pPr>
        <w:pStyle w:val="45"/>
        <w:numPr>
          <w:ilvl w:val="0"/>
          <w:numId w:val="2"/>
        </w:numPr>
        <w:spacing w:before="312" w:after="312"/>
        <w:rPr>
          <w:rFonts w:hAnsi="黑体" w:cs="宋体"/>
          <w:bCs/>
          <w:szCs w:val="21"/>
        </w:rPr>
      </w:pPr>
      <w:bookmarkStart w:id="60" w:name="_Toc123130260"/>
      <w:bookmarkStart w:id="61" w:name="_Toc9850"/>
      <w:r>
        <w:rPr>
          <w:rFonts w:hint="eastAsia" w:hAnsi="黑体" w:cs="宋体"/>
          <w:bCs/>
          <w:szCs w:val="21"/>
        </w:rPr>
        <w:t>试验</w:t>
      </w:r>
      <w:bookmarkEnd w:id="60"/>
      <w:bookmarkEnd w:id="61"/>
    </w:p>
    <w:p w14:paraId="30F7CEB0">
      <w:pPr>
        <w:pStyle w:val="45"/>
        <w:numPr>
          <w:ilvl w:val="1"/>
          <w:numId w:val="2"/>
        </w:numPr>
        <w:adjustRightInd w:val="0"/>
        <w:snapToGrid w:val="0"/>
        <w:spacing w:before="156" w:beforeLines="50" w:after="156" w:afterLines="50"/>
        <w:ind w:left="0"/>
        <w:outlineLvl w:val="2"/>
      </w:pPr>
      <w:bookmarkStart w:id="62" w:name="bookmark303"/>
      <w:bookmarkEnd w:id="62"/>
      <w:bookmarkStart w:id="63" w:name="_Toc123130261"/>
      <w:r>
        <w:rPr>
          <w:rFonts w:hint="eastAsia"/>
        </w:rPr>
        <w:t>总则</w:t>
      </w:r>
      <w:bookmarkEnd w:id="63"/>
    </w:p>
    <w:p w14:paraId="548EBFC9">
      <w:pPr>
        <w:pStyle w:val="46"/>
        <w:spacing w:before="156" w:after="156"/>
        <w:ind w:left="0"/>
        <w:rPr>
          <w:lang w:val="zh-TW" w:eastAsia="zh-TW" w:bidi="zh-TW"/>
        </w:rPr>
      </w:pPr>
      <w:r>
        <w:rPr>
          <w:rFonts w:hint="eastAsia"/>
          <w:lang w:val="zh-TW" w:eastAsia="zh-TW" w:bidi="zh-TW"/>
        </w:rPr>
        <w:t>试验方法</w:t>
      </w:r>
    </w:p>
    <w:p w14:paraId="04AC0824">
      <w:pPr>
        <w:pStyle w:val="144"/>
        <w:spacing w:line="315" w:lineRule="exact"/>
        <w:ind w:left="140" w:firstLine="420"/>
        <w:rPr>
          <w:sz w:val="21"/>
          <w:szCs w:val="21"/>
          <w:lang w:eastAsia="zh-CN"/>
        </w:rPr>
      </w:pPr>
      <w:r>
        <w:rPr>
          <w:rFonts w:hint="eastAsia"/>
          <w:color w:val="000000"/>
          <w:sz w:val="21"/>
          <w:szCs w:val="21"/>
        </w:rPr>
        <w:t>出于经济方面的原因</w:t>
      </w:r>
      <w:r>
        <w:rPr>
          <w:rFonts w:hint="eastAsia"/>
          <w:color w:val="000000"/>
          <w:sz w:val="21"/>
          <w:szCs w:val="21"/>
          <w:lang w:eastAsia="zh-CN"/>
        </w:rPr>
        <w:t>，</w:t>
      </w:r>
      <w:r>
        <w:rPr>
          <w:color w:val="000000"/>
          <w:sz w:val="21"/>
          <w:szCs w:val="21"/>
          <w:lang w:eastAsia="zh-CN"/>
        </w:rPr>
        <w:t>需</w:t>
      </w:r>
      <w:r>
        <w:rPr>
          <w:rFonts w:hint="eastAsia"/>
          <w:color w:val="000000"/>
          <w:sz w:val="21"/>
          <w:szCs w:val="21"/>
        </w:rPr>
        <w:t>限制</w:t>
      </w:r>
      <w:r>
        <w:rPr>
          <w:rFonts w:hint="eastAsia"/>
          <w:color w:val="000000"/>
          <w:sz w:val="21"/>
          <w:szCs w:val="21"/>
          <w:lang w:eastAsia="zh-CN"/>
        </w:rPr>
        <w:t>试验</w:t>
      </w:r>
      <w:r>
        <w:rPr>
          <w:rFonts w:hint="eastAsia"/>
          <w:color w:val="000000"/>
          <w:sz w:val="21"/>
          <w:szCs w:val="21"/>
        </w:rPr>
        <w:t>项目</w:t>
      </w:r>
      <w:r>
        <w:rPr>
          <w:rFonts w:hint="eastAsia"/>
          <w:color w:val="000000"/>
          <w:sz w:val="21"/>
          <w:szCs w:val="21"/>
          <w:lang w:eastAsia="zh-CN"/>
        </w:rPr>
        <w:t>，</w:t>
      </w:r>
      <w:r>
        <w:rPr>
          <w:rFonts w:hint="eastAsia"/>
          <w:color w:val="000000"/>
          <w:sz w:val="21"/>
          <w:szCs w:val="21"/>
        </w:rPr>
        <w:t>大型设备在制造厂内的试验为对拆分为单件发货的独立组件进行试验</w:t>
      </w:r>
      <w:r>
        <w:rPr>
          <w:rFonts w:hint="eastAsia"/>
          <w:color w:val="000000"/>
          <w:sz w:val="21"/>
          <w:szCs w:val="21"/>
          <w:lang w:eastAsia="zh-CN"/>
        </w:rPr>
        <w:t>。</w:t>
      </w:r>
    </w:p>
    <w:p w14:paraId="46054CE1">
      <w:pPr>
        <w:pStyle w:val="144"/>
        <w:tabs>
          <w:tab w:val="left" w:pos="423"/>
        </w:tabs>
        <w:spacing w:line="315" w:lineRule="exact"/>
        <w:ind w:firstLine="420" w:firstLineChars="200"/>
        <w:jc w:val="left"/>
        <w:rPr>
          <w:sz w:val="21"/>
          <w:szCs w:val="21"/>
        </w:rPr>
      </w:pPr>
      <w:r>
        <w:rPr>
          <w:rFonts w:hint="eastAsia"/>
          <w:color w:val="000000"/>
          <w:sz w:val="21"/>
          <w:szCs w:val="21"/>
          <w:lang w:eastAsia="zh-CN"/>
        </w:rPr>
        <w:t>对于</w:t>
      </w:r>
      <w:r>
        <w:rPr>
          <w:rFonts w:hint="eastAsia"/>
          <w:color w:val="000000"/>
          <w:sz w:val="21"/>
          <w:szCs w:val="21"/>
        </w:rPr>
        <w:t>大型设备、成套设备的综含性试验</w:t>
      </w:r>
      <w:r>
        <w:rPr>
          <w:rFonts w:hint="eastAsia"/>
          <w:color w:val="000000"/>
          <w:sz w:val="21"/>
          <w:szCs w:val="21"/>
          <w:lang w:eastAsia="zh-CN"/>
        </w:rPr>
        <w:t>，</w:t>
      </w:r>
      <w:r>
        <w:rPr>
          <w:rFonts w:hint="eastAsia"/>
          <w:color w:val="000000"/>
          <w:sz w:val="21"/>
          <w:szCs w:val="21"/>
        </w:rPr>
        <w:t>尤其是负载</w:t>
      </w:r>
      <w:r>
        <w:rPr>
          <w:rFonts w:hint="eastAsia"/>
          <w:color w:val="000000"/>
          <w:sz w:val="21"/>
          <w:szCs w:val="21"/>
          <w:lang w:eastAsia="zh-CN"/>
        </w:rPr>
        <w:t>试验</w:t>
      </w:r>
      <w:r>
        <w:rPr>
          <w:rFonts w:hint="eastAsia"/>
          <w:color w:val="000000"/>
          <w:sz w:val="21"/>
          <w:szCs w:val="21"/>
        </w:rPr>
        <w:t>不推荐在制造厂内进行</w:t>
      </w:r>
      <w:r>
        <w:rPr>
          <w:rFonts w:hint="eastAsia"/>
          <w:color w:val="000000"/>
          <w:sz w:val="21"/>
          <w:szCs w:val="21"/>
          <w:lang w:eastAsia="zh-CN"/>
        </w:rPr>
        <w:t>，</w:t>
      </w:r>
      <w:r>
        <w:rPr>
          <w:rFonts w:hint="eastAsia"/>
          <w:color w:val="000000"/>
          <w:sz w:val="21"/>
          <w:szCs w:val="21"/>
        </w:rPr>
        <w:t>可在现场安装完成后</w:t>
      </w:r>
      <w:r>
        <w:rPr>
          <w:rFonts w:hint="eastAsia"/>
          <w:color w:val="000000"/>
          <w:sz w:val="21"/>
          <w:szCs w:val="21"/>
          <w:lang w:eastAsia="zh-CN"/>
        </w:rPr>
        <w:t>在</w:t>
      </w:r>
      <w:r>
        <w:rPr>
          <w:rFonts w:hint="eastAsia"/>
          <w:color w:val="000000"/>
          <w:sz w:val="21"/>
          <w:szCs w:val="21"/>
        </w:rPr>
        <w:t>实际负载条件下进行</w:t>
      </w:r>
      <w:r>
        <w:rPr>
          <w:rFonts w:hint="eastAsia"/>
          <w:color w:val="000000"/>
          <w:sz w:val="21"/>
          <w:szCs w:val="21"/>
          <w:lang w:eastAsia="zh-CN"/>
        </w:rPr>
        <w:t>。</w:t>
      </w:r>
      <w:r>
        <w:rPr>
          <w:rFonts w:hint="eastAsia"/>
          <w:color w:val="000000"/>
          <w:sz w:val="21"/>
          <w:szCs w:val="21"/>
        </w:rPr>
        <w:t>作为整体交货的</w:t>
      </w:r>
      <w:r>
        <w:rPr>
          <w:rFonts w:hint="eastAsia"/>
          <w:color w:val="000000"/>
          <w:sz w:val="21"/>
          <w:szCs w:val="21"/>
          <w:lang w:eastAsia="zh-CN"/>
        </w:rPr>
        <w:t>小</w:t>
      </w:r>
      <w:r>
        <w:rPr>
          <w:rFonts w:hint="eastAsia"/>
          <w:color w:val="000000"/>
          <w:sz w:val="21"/>
          <w:szCs w:val="21"/>
        </w:rPr>
        <w:t>型设备应在发货前按上述规定试验。</w:t>
      </w:r>
    </w:p>
    <w:p w14:paraId="64F2C111">
      <w:pPr>
        <w:pStyle w:val="144"/>
        <w:spacing w:line="315" w:lineRule="exact"/>
        <w:ind w:left="140" w:firstLine="420"/>
        <w:rPr>
          <w:sz w:val="21"/>
          <w:szCs w:val="21"/>
          <w:lang w:eastAsia="zh-CN"/>
        </w:rPr>
      </w:pPr>
      <w:r>
        <w:rPr>
          <w:rFonts w:hint="eastAsia"/>
          <w:color w:val="000000"/>
          <w:sz w:val="21"/>
          <w:szCs w:val="21"/>
          <w:lang w:eastAsia="zh-CN"/>
        </w:rPr>
        <w:t>试验</w:t>
      </w:r>
      <w:r>
        <w:rPr>
          <w:rFonts w:hint="eastAsia"/>
          <w:color w:val="000000"/>
          <w:sz w:val="21"/>
          <w:szCs w:val="21"/>
        </w:rPr>
        <w:t>应在与实际运行条件等效的电气条件下进行。如果不具备该条件</w:t>
      </w:r>
      <w:r>
        <w:rPr>
          <w:rFonts w:hint="eastAsia"/>
          <w:color w:val="000000"/>
          <w:sz w:val="21"/>
          <w:szCs w:val="21"/>
          <w:lang w:eastAsia="zh-CN"/>
        </w:rPr>
        <w:t>，</w:t>
      </w:r>
      <w:r>
        <w:rPr>
          <w:rFonts w:hint="eastAsia"/>
          <w:color w:val="000000"/>
          <w:sz w:val="21"/>
          <w:szCs w:val="21"/>
        </w:rPr>
        <w:t>对应的组件和设备应在证实满足规定性能的条件下进行</w:t>
      </w:r>
      <w:r>
        <w:rPr>
          <w:rFonts w:hint="eastAsia"/>
          <w:color w:val="000000"/>
          <w:sz w:val="21"/>
          <w:szCs w:val="21"/>
          <w:lang w:eastAsia="zh-CN"/>
        </w:rPr>
        <w:t>。</w:t>
      </w:r>
    </w:p>
    <w:p w14:paraId="632FAFCB">
      <w:pPr>
        <w:pStyle w:val="144"/>
        <w:spacing w:line="315" w:lineRule="exact"/>
        <w:ind w:left="140" w:firstLine="420"/>
        <w:rPr>
          <w:color w:val="000000"/>
          <w:sz w:val="21"/>
          <w:szCs w:val="21"/>
        </w:rPr>
      </w:pPr>
      <w:r>
        <w:rPr>
          <w:rFonts w:hint="eastAsia"/>
          <w:color w:val="000000"/>
          <w:sz w:val="21"/>
          <w:szCs w:val="21"/>
          <w:lang w:eastAsia="zh-CN"/>
        </w:rPr>
        <w:t>试验</w:t>
      </w:r>
      <w:r>
        <w:rPr>
          <w:rFonts w:hint="eastAsia"/>
          <w:color w:val="000000"/>
          <w:sz w:val="21"/>
          <w:szCs w:val="21"/>
        </w:rPr>
        <w:t>时</w:t>
      </w:r>
      <w:r>
        <w:rPr>
          <w:rFonts w:hint="eastAsia"/>
          <w:color w:val="000000"/>
          <w:sz w:val="21"/>
          <w:szCs w:val="21"/>
          <w:lang w:eastAsia="zh-CN"/>
        </w:rPr>
        <w:t>，</w:t>
      </w:r>
      <w:r>
        <w:rPr>
          <w:rFonts w:hint="eastAsia"/>
          <w:color w:val="000000"/>
          <w:sz w:val="21"/>
          <w:szCs w:val="21"/>
        </w:rPr>
        <w:t>如果方便</w:t>
      </w:r>
      <w:r>
        <w:rPr>
          <w:rFonts w:hint="eastAsia"/>
          <w:color w:val="000000"/>
          <w:sz w:val="21"/>
          <w:szCs w:val="21"/>
          <w:lang w:eastAsia="zh-CN"/>
        </w:rPr>
        <w:t>，</w:t>
      </w:r>
      <w:r>
        <w:rPr>
          <w:rFonts w:hint="eastAsia"/>
          <w:color w:val="000000"/>
          <w:sz w:val="21"/>
          <w:szCs w:val="21"/>
        </w:rPr>
        <w:t>设备中的组件和其他部件可分别试验。</w:t>
      </w:r>
    </w:p>
    <w:p w14:paraId="74974A01">
      <w:pPr>
        <w:pStyle w:val="144"/>
        <w:spacing w:line="315" w:lineRule="exact"/>
        <w:ind w:left="140" w:firstLine="420"/>
        <w:rPr>
          <w:sz w:val="21"/>
          <w:szCs w:val="21"/>
        </w:rPr>
      </w:pPr>
      <w:r>
        <w:rPr>
          <w:rFonts w:hint="eastAsia"/>
          <w:color w:val="000000"/>
          <w:sz w:val="21"/>
          <w:szCs w:val="21"/>
        </w:rPr>
        <w:t>除非签订合同时另有协议</w:t>
      </w:r>
      <w:r>
        <w:rPr>
          <w:rFonts w:hint="eastAsia"/>
          <w:color w:val="000000"/>
          <w:sz w:val="21"/>
          <w:szCs w:val="21"/>
          <w:lang w:eastAsia="zh-CN"/>
        </w:rPr>
        <w:t>，</w:t>
      </w:r>
      <w:r>
        <w:rPr>
          <w:rFonts w:hint="eastAsia"/>
          <w:color w:val="000000"/>
          <w:sz w:val="21"/>
          <w:szCs w:val="21"/>
        </w:rPr>
        <w:t>交流供电电压和试验电压应为额定频率</w:t>
      </w:r>
      <w:r>
        <w:rPr>
          <w:rFonts w:hint="eastAsia"/>
          <w:color w:val="000000"/>
          <w:sz w:val="21"/>
          <w:szCs w:val="21"/>
          <w:lang w:eastAsia="zh-CN"/>
        </w:rPr>
        <w:t>，</w:t>
      </w:r>
      <w:r>
        <w:rPr>
          <w:rFonts w:hint="eastAsia"/>
          <w:color w:val="000000"/>
          <w:sz w:val="21"/>
          <w:szCs w:val="21"/>
        </w:rPr>
        <w:t xml:space="preserve">但绝缘试验电压可是直流或任何方便的频率的交流电压（由供应商在15 </w:t>
      </w:r>
      <w:r>
        <w:rPr>
          <w:rFonts w:hint="eastAsia"/>
          <w:color w:val="000000"/>
          <w:sz w:val="21"/>
          <w:szCs w:val="21"/>
          <w:lang w:val="en-US" w:eastAsia="zh-CN" w:bidi="en-US"/>
        </w:rPr>
        <w:t>Hz</w:t>
      </w:r>
      <w:r>
        <w:rPr>
          <w:rFonts w:hint="eastAsia"/>
          <w:color w:val="000000"/>
          <w:sz w:val="21"/>
          <w:szCs w:val="21"/>
        </w:rPr>
        <w:t>〜10</w:t>
      </w:r>
      <w:r>
        <w:rPr>
          <w:rFonts w:hint="eastAsia"/>
          <w:color w:val="000000"/>
          <w:sz w:val="21"/>
          <w:szCs w:val="21"/>
          <w:lang w:val="en-US" w:eastAsia="zh-CN"/>
        </w:rPr>
        <w:t>0</w:t>
      </w:r>
      <w:r>
        <w:rPr>
          <w:rFonts w:hint="eastAsia"/>
          <w:color w:val="000000"/>
          <w:sz w:val="21"/>
          <w:szCs w:val="21"/>
        </w:rPr>
        <w:t xml:space="preserve"> </w:t>
      </w:r>
      <w:r>
        <w:rPr>
          <w:rFonts w:hint="eastAsia"/>
          <w:color w:val="000000"/>
          <w:sz w:val="21"/>
          <w:szCs w:val="21"/>
          <w:lang w:val="en-US" w:eastAsia="zh-CN" w:bidi="en-US"/>
        </w:rPr>
        <w:t>Hz</w:t>
      </w:r>
      <w:r>
        <w:rPr>
          <w:rFonts w:hint="eastAsia"/>
          <w:color w:val="000000"/>
          <w:sz w:val="21"/>
          <w:szCs w:val="21"/>
        </w:rPr>
        <w:t>选择）。</w:t>
      </w:r>
    </w:p>
    <w:p w14:paraId="4FD92ADB">
      <w:pPr>
        <w:pStyle w:val="144"/>
        <w:spacing w:line="315" w:lineRule="exact"/>
        <w:ind w:firstLine="540"/>
        <w:rPr>
          <w:sz w:val="21"/>
          <w:szCs w:val="21"/>
        </w:rPr>
      </w:pPr>
      <w:r>
        <w:rPr>
          <w:rFonts w:hint="eastAsia"/>
          <w:color w:val="000000"/>
          <w:sz w:val="21"/>
          <w:szCs w:val="21"/>
        </w:rPr>
        <w:t>对相同产品或类似产品</w:t>
      </w:r>
      <w:r>
        <w:rPr>
          <w:rFonts w:hint="eastAsia"/>
          <w:color w:val="000000"/>
          <w:sz w:val="21"/>
          <w:szCs w:val="21"/>
          <w:lang w:eastAsia="zh-CN"/>
        </w:rPr>
        <w:t>进行</w:t>
      </w:r>
      <w:r>
        <w:rPr>
          <w:rFonts w:hint="eastAsia"/>
          <w:color w:val="000000"/>
          <w:sz w:val="21"/>
          <w:szCs w:val="21"/>
        </w:rPr>
        <w:t>过</w:t>
      </w:r>
      <w:r>
        <w:rPr>
          <w:rFonts w:hint="eastAsia"/>
          <w:color w:val="000000"/>
          <w:sz w:val="21"/>
          <w:szCs w:val="21"/>
          <w:lang w:val="en-US" w:eastAsia="zh-CN"/>
        </w:rPr>
        <w:t>以上</w:t>
      </w:r>
      <w:r>
        <w:rPr>
          <w:rFonts w:hint="eastAsia"/>
          <w:color w:val="000000"/>
          <w:sz w:val="21"/>
          <w:szCs w:val="21"/>
        </w:rPr>
        <w:t>的型式试验，而试验条件不低于合同或本部分要求</w:t>
      </w:r>
      <w:r>
        <w:rPr>
          <w:rFonts w:hint="eastAsia"/>
          <w:color w:val="000000"/>
          <w:sz w:val="21"/>
          <w:szCs w:val="21"/>
          <w:lang w:eastAsia="zh-CN"/>
        </w:rPr>
        <w:t>，</w:t>
      </w:r>
      <w:r>
        <w:rPr>
          <w:rFonts w:hint="eastAsia"/>
          <w:color w:val="000000"/>
          <w:sz w:val="21"/>
          <w:szCs w:val="21"/>
        </w:rPr>
        <w:t>可提供证明材料。</w:t>
      </w:r>
    </w:p>
    <w:p w14:paraId="27F20A60">
      <w:pPr>
        <w:pStyle w:val="144"/>
        <w:spacing w:after="240" w:line="322" w:lineRule="exact"/>
        <w:ind w:firstLine="420"/>
        <w:rPr>
          <w:sz w:val="21"/>
          <w:szCs w:val="21"/>
          <w:lang w:eastAsia="zh-CN"/>
        </w:rPr>
      </w:pPr>
      <w:r>
        <w:rPr>
          <w:rFonts w:hint="eastAsia"/>
          <w:color w:val="000000"/>
          <w:sz w:val="21"/>
          <w:szCs w:val="21"/>
        </w:rPr>
        <w:t>电力</w:t>
      </w:r>
      <w:r>
        <w:rPr>
          <w:rFonts w:hint="eastAsia"/>
          <w:color w:val="000000"/>
          <w:sz w:val="21"/>
          <w:szCs w:val="21"/>
          <w:lang w:eastAsia="zh-CN"/>
        </w:rPr>
        <w:t>开关</w:t>
      </w:r>
      <w:r>
        <w:rPr>
          <w:rFonts w:hint="eastAsia"/>
          <w:color w:val="000000"/>
          <w:sz w:val="21"/>
          <w:szCs w:val="21"/>
        </w:rPr>
        <w:t>设备内配套的电力半导体器件和电子</w:t>
      </w:r>
      <w:r>
        <w:rPr>
          <w:rFonts w:hint="eastAsia"/>
          <w:color w:val="000000"/>
          <w:sz w:val="21"/>
          <w:szCs w:val="21"/>
          <w:lang w:eastAsia="zh-CN"/>
        </w:rPr>
        <w:t>元</w:t>
      </w:r>
      <w:r>
        <w:rPr>
          <w:rFonts w:hint="eastAsia"/>
          <w:color w:val="000000"/>
          <w:sz w:val="21"/>
          <w:szCs w:val="21"/>
        </w:rPr>
        <w:t>器件</w:t>
      </w:r>
      <w:r>
        <w:rPr>
          <w:rFonts w:hint="eastAsia"/>
          <w:color w:val="000000"/>
          <w:sz w:val="21"/>
          <w:szCs w:val="21"/>
          <w:lang w:eastAsia="zh-CN"/>
        </w:rPr>
        <w:t>，</w:t>
      </w:r>
      <w:r>
        <w:rPr>
          <w:rFonts w:hint="eastAsia"/>
          <w:color w:val="000000"/>
          <w:sz w:val="21"/>
          <w:szCs w:val="21"/>
        </w:rPr>
        <w:t>以及诸如变压器、电抗器、开关、仪器仪表、冷却设备等</w:t>
      </w:r>
      <w:r>
        <w:rPr>
          <w:rFonts w:hint="eastAsia"/>
          <w:color w:val="000000"/>
          <w:sz w:val="21"/>
          <w:szCs w:val="21"/>
          <w:lang w:eastAsia="zh-CN"/>
        </w:rPr>
        <w:t>，</w:t>
      </w:r>
      <w:r>
        <w:rPr>
          <w:rFonts w:hint="eastAsia"/>
          <w:color w:val="000000"/>
          <w:sz w:val="21"/>
          <w:szCs w:val="21"/>
        </w:rPr>
        <w:t>应在组装前通过符合性试验。如果这些元器件和装置己有按其标准通过出厂试验的合格证明,只进行与电力</w:t>
      </w:r>
      <w:r>
        <w:rPr>
          <w:rFonts w:hint="eastAsia"/>
          <w:color w:val="000000"/>
          <w:sz w:val="21"/>
          <w:szCs w:val="21"/>
          <w:lang w:eastAsia="zh-CN"/>
        </w:rPr>
        <w:t>开关</w:t>
      </w:r>
      <w:r>
        <w:rPr>
          <w:rFonts w:hint="eastAsia"/>
          <w:color w:val="000000"/>
          <w:sz w:val="21"/>
          <w:szCs w:val="21"/>
        </w:rPr>
        <w:t>设备有关的功能试验和操作试验</w:t>
      </w:r>
      <w:r>
        <w:rPr>
          <w:rFonts w:hint="eastAsia"/>
          <w:color w:val="000000"/>
          <w:sz w:val="21"/>
          <w:szCs w:val="21"/>
          <w:lang w:val="en-US" w:eastAsia="zh-CN" w:bidi="en-US"/>
        </w:rPr>
        <w:t>。</w:t>
      </w:r>
    </w:p>
    <w:p w14:paraId="2F0A0339">
      <w:pPr>
        <w:pStyle w:val="46"/>
        <w:spacing w:before="156" w:after="156"/>
        <w:ind w:left="0"/>
        <w:rPr>
          <w:lang w:val="zh-TW" w:eastAsia="zh-TW" w:bidi="zh-TW"/>
        </w:rPr>
      </w:pPr>
      <w:r>
        <w:rPr>
          <w:rFonts w:hint="eastAsia"/>
          <w:lang w:val="zh-TW" w:eastAsia="zh-TW" w:bidi="zh-TW"/>
        </w:rPr>
        <w:t>试验项目</w:t>
      </w:r>
    </w:p>
    <w:p w14:paraId="60B3FFAB">
      <w:pPr>
        <w:pStyle w:val="144"/>
        <w:spacing w:after="240" w:line="331" w:lineRule="exact"/>
        <w:ind w:firstLine="420"/>
        <w:rPr>
          <w:sz w:val="21"/>
          <w:szCs w:val="21"/>
        </w:rPr>
      </w:pPr>
      <w:r>
        <w:rPr>
          <w:rFonts w:hint="eastAsia"/>
          <w:color w:val="000000"/>
          <w:sz w:val="21"/>
          <w:szCs w:val="21"/>
        </w:rPr>
        <w:t>表</w:t>
      </w:r>
      <w:r>
        <w:rPr>
          <w:color w:val="000000"/>
          <w:sz w:val="21"/>
          <w:szCs w:val="21"/>
          <w:lang w:val="en-US" w:eastAsia="zh-CN"/>
        </w:rPr>
        <w:t>7</w:t>
      </w:r>
      <w:r>
        <w:rPr>
          <w:rFonts w:hint="eastAsia"/>
          <w:color w:val="000000"/>
          <w:sz w:val="21"/>
          <w:szCs w:val="21"/>
        </w:rPr>
        <w:t>为</w:t>
      </w:r>
      <w:r>
        <w:rPr>
          <w:rFonts w:hint="eastAsia"/>
          <w:color w:val="000000"/>
          <w:sz w:val="21"/>
          <w:szCs w:val="21"/>
          <w:lang w:eastAsia="zh-CN"/>
        </w:rPr>
        <w:t>开关</w:t>
      </w:r>
      <w:r>
        <w:rPr>
          <w:rFonts w:hint="eastAsia"/>
          <w:color w:val="000000"/>
          <w:sz w:val="21"/>
          <w:szCs w:val="21"/>
        </w:rPr>
        <w:t>或组件的试验</w:t>
      </w:r>
      <w:r>
        <w:rPr>
          <w:rFonts w:hint="eastAsia"/>
          <w:color w:val="000000"/>
          <w:sz w:val="21"/>
          <w:szCs w:val="21"/>
          <w:lang w:eastAsia="zh-CN"/>
        </w:rPr>
        <w:t>项目</w:t>
      </w:r>
      <w:r>
        <w:rPr>
          <w:rFonts w:hint="eastAsia"/>
          <w:color w:val="000000"/>
          <w:sz w:val="21"/>
          <w:szCs w:val="21"/>
        </w:rPr>
        <w:t>一览表。除非另</w:t>
      </w:r>
      <w:r>
        <w:rPr>
          <w:rFonts w:hint="eastAsia"/>
          <w:color w:val="000000"/>
          <w:sz w:val="21"/>
          <w:szCs w:val="21"/>
          <w:lang w:eastAsia="zh-CN"/>
        </w:rPr>
        <w:t>有</w:t>
      </w:r>
      <w:r>
        <w:rPr>
          <w:rFonts w:hint="eastAsia"/>
          <w:color w:val="000000"/>
          <w:sz w:val="21"/>
          <w:szCs w:val="21"/>
        </w:rPr>
        <w:t xml:space="preserve">协议，试验应包括表中全部标示“ </w:t>
      </w:r>
      <w:r>
        <w:rPr>
          <w:rFonts w:hint="eastAsia"/>
          <w:color w:val="000000"/>
          <w:sz w:val="21"/>
          <w:szCs w:val="21"/>
          <w:lang w:val="zh-CN" w:eastAsia="zh-CN" w:bidi="zh-CN"/>
        </w:rPr>
        <w:t>★”的</w:t>
      </w:r>
      <w:r>
        <w:rPr>
          <w:rFonts w:hint="eastAsia"/>
          <w:color w:val="000000"/>
          <w:sz w:val="21"/>
          <w:szCs w:val="21"/>
        </w:rPr>
        <w:t>项目， 标示“</w:t>
      </w:r>
      <w:r>
        <w:rPr>
          <w:rFonts w:hint="eastAsia"/>
          <w:color w:val="000000"/>
          <w:sz w:val="21"/>
          <w:szCs w:val="21"/>
          <w:lang w:val="zh-CN" w:eastAsia="zh-CN" w:bidi="zh-CN"/>
        </w:rPr>
        <w:t>（★）</w:t>
      </w:r>
      <w:r>
        <w:rPr>
          <w:rFonts w:hint="eastAsia"/>
          <w:color w:val="000000"/>
          <w:sz w:val="21"/>
          <w:szCs w:val="21"/>
        </w:rPr>
        <w:t>的项目只在合同要求时进行：</w:t>
      </w:r>
    </w:p>
    <w:p w14:paraId="2C9DB457">
      <w:pPr>
        <w:pStyle w:val="144"/>
        <w:spacing w:line="360" w:lineRule="auto"/>
        <w:ind w:firstLine="0"/>
        <w:jc w:val="center"/>
        <w:rPr>
          <w:sz w:val="21"/>
          <w:szCs w:val="21"/>
        </w:rPr>
      </w:pPr>
      <w:r>
        <w:rPr>
          <w:rFonts w:hint="eastAsia"/>
          <w:bCs/>
          <w:color w:val="000000"/>
          <w:sz w:val="21"/>
          <w:szCs w:val="21"/>
        </w:rPr>
        <w:t>表</w:t>
      </w:r>
      <w:r>
        <w:rPr>
          <w:color w:val="000000"/>
          <w:sz w:val="21"/>
          <w:szCs w:val="21"/>
          <w:lang w:val="en-US" w:eastAsia="zh-CN"/>
        </w:rPr>
        <w:t xml:space="preserve">7 </w:t>
      </w:r>
      <w:r>
        <w:rPr>
          <w:rFonts w:hint="eastAsia"/>
          <w:bCs/>
          <w:color w:val="000000"/>
          <w:sz w:val="21"/>
          <w:szCs w:val="21"/>
        </w:rPr>
        <w:t>试验项目</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2"/>
        <w:gridCol w:w="3600"/>
        <w:gridCol w:w="907"/>
        <w:gridCol w:w="902"/>
        <w:gridCol w:w="902"/>
        <w:gridCol w:w="1996"/>
        <w:gridCol w:w="10"/>
      </w:tblGrid>
      <w:tr w14:paraId="351E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4" w:hRule="exact"/>
          <w:jc w:val="center"/>
        </w:trPr>
        <w:tc>
          <w:tcPr>
            <w:tcW w:w="922" w:type="dxa"/>
            <w:shd w:val="clear" w:color="auto" w:fill="FFFFFF"/>
            <w:vAlign w:val="center"/>
          </w:tcPr>
          <w:p w14:paraId="1FB84DED">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序号</w:t>
            </w:r>
          </w:p>
        </w:tc>
        <w:tc>
          <w:tcPr>
            <w:tcW w:w="3600" w:type="dxa"/>
            <w:shd w:val="clear" w:color="auto" w:fill="FFFFFF"/>
            <w:vAlign w:val="center"/>
          </w:tcPr>
          <w:p w14:paraId="718E3165">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试验项冃</w:t>
            </w:r>
          </w:p>
        </w:tc>
        <w:tc>
          <w:tcPr>
            <w:tcW w:w="907" w:type="dxa"/>
            <w:shd w:val="clear" w:color="auto" w:fill="FFFFFF"/>
            <w:vAlign w:val="center"/>
          </w:tcPr>
          <w:p w14:paraId="6E1756B8">
            <w:pPr>
              <w:pStyle w:val="151"/>
              <w:spacing w:line="240" w:lineRule="auto"/>
              <w:ind w:firstLine="0"/>
              <w:jc w:val="center"/>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eastAsia="zh-CN"/>
              </w:rPr>
              <w:t>型式试验</w:t>
            </w:r>
          </w:p>
        </w:tc>
        <w:tc>
          <w:tcPr>
            <w:tcW w:w="902" w:type="dxa"/>
            <w:shd w:val="clear" w:color="auto" w:fill="FFFFFF"/>
            <w:vAlign w:val="center"/>
          </w:tcPr>
          <w:p w14:paraId="202503D5">
            <w:pPr>
              <w:pStyle w:val="151"/>
              <w:spacing w:line="240" w:lineRule="auto"/>
              <w:ind w:firstLine="0"/>
              <w:jc w:val="center"/>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eastAsia="zh-CN"/>
              </w:rPr>
              <w:t>出厂试验</w:t>
            </w:r>
          </w:p>
        </w:tc>
        <w:tc>
          <w:tcPr>
            <w:tcW w:w="902" w:type="dxa"/>
            <w:shd w:val="clear" w:color="auto" w:fill="FFFFFF"/>
            <w:vAlign w:val="center"/>
          </w:tcPr>
          <w:p w14:paraId="36BEB6CC">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订选试验</w:t>
            </w:r>
          </w:p>
        </w:tc>
        <w:tc>
          <w:tcPr>
            <w:tcW w:w="2006" w:type="dxa"/>
            <w:gridSpan w:val="2"/>
            <w:shd w:val="clear" w:color="auto" w:fill="FFFFFF"/>
            <w:vAlign w:val="center"/>
          </w:tcPr>
          <w:p w14:paraId="08195560">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章条号</w:t>
            </w:r>
          </w:p>
        </w:tc>
      </w:tr>
      <w:tr w14:paraId="08CC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922" w:type="dxa"/>
            <w:shd w:val="clear" w:color="auto" w:fill="FFFFFF"/>
            <w:vAlign w:val="center"/>
          </w:tcPr>
          <w:p w14:paraId="680DFA4F">
            <w:pPr>
              <w:pStyle w:val="151"/>
              <w:spacing w:line="240" w:lineRule="auto"/>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1</w:t>
            </w:r>
          </w:p>
        </w:tc>
        <w:tc>
          <w:tcPr>
            <w:tcW w:w="3600" w:type="dxa"/>
            <w:shd w:val="clear" w:color="auto" w:fill="FFFFFF"/>
            <w:vAlign w:val="center"/>
          </w:tcPr>
          <w:p w14:paraId="169CC781">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外观检验</w:t>
            </w:r>
          </w:p>
        </w:tc>
        <w:tc>
          <w:tcPr>
            <w:tcW w:w="907" w:type="dxa"/>
            <w:shd w:val="clear" w:color="auto" w:fill="FFFFFF"/>
            <w:vAlign w:val="center"/>
          </w:tcPr>
          <w:p w14:paraId="30095713">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134DE896">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490767F1">
            <w:pPr>
              <w:rPr>
                <w:rFonts w:cs="宋体" w:asciiTheme="minorEastAsia" w:hAnsiTheme="minorEastAsia" w:eastAsiaTheme="minorEastAsia"/>
                <w:sz w:val="18"/>
                <w:szCs w:val="18"/>
              </w:rPr>
            </w:pPr>
          </w:p>
        </w:tc>
        <w:tc>
          <w:tcPr>
            <w:tcW w:w="2006" w:type="dxa"/>
            <w:gridSpan w:val="2"/>
            <w:shd w:val="clear" w:color="auto" w:fill="FFFFFF"/>
          </w:tcPr>
          <w:p w14:paraId="26A59909">
            <w:pPr>
              <w:rPr>
                <w:rFonts w:cs="宋体" w:asciiTheme="minorEastAsia" w:hAnsiTheme="minorEastAsia" w:eastAsiaTheme="minorEastAsia"/>
                <w:sz w:val="18"/>
                <w:szCs w:val="18"/>
              </w:rPr>
            </w:pPr>
          </w:p>
        </w:tc>
      </w:tr>
      <w:tr w14:paraId="27C2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22" w:type="dxa"/>
            <w:shd w:val="clear" w:color="auto" w:fill="FFFFFF"/>
            <w:vAlign w:val="center"/>
          </w:tcPr>
          <w:p w14:paraId="1455444E">
            <w:pPr>
              <w:pStyle w:val="151"/>
              <w:spacing w:line="240" w:lineRule="auto"/>
              <w:jc w:val="left"/>
              <w:rPr>
                <w:rFonts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2</w:t>
            </w:r>
          </w:p>
        </w:tc>
        <w:tc>
          <w:tcPr>
            <w:tcW w:w="3600" w:type="dxa"/>
            <w:shd w:val="clear" w:color="auto" w:fill="FFFFFF"/>
            <w:vAlign w:val="center"/>
          </w:tcPr>
          <w:p w14:paraId="39839E42">
            <w:pPr>
              <w:pStyle w:val="151"/>
              <w:spacing w:line="240" w:lineRule="auto"/>
              <w:ind w:firstLine="0"/>
              <w:jc w:val="left"/>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rPr>
              <w:t>轻载和功能</w:t>
            </w:r>
            <w:r>
              <w:rPr>
                <w:rFonts w:hint="eastAsia" w:asciiTheme="minorEastAsia" w:hAnsiTheme="minorEastAsia" w:eastAsiaTheme="minorEastAsia"/>
                <w:color w:val="000000"/>
                <w:sz w:val="18"/>
                <w:szCs w:val="18"/>
                <w:lang w:eastAsia="zh-CN"/>
              </w:rPr>
              <w:t>试验</w:t>
            </w:r>
          </w:p>
        </w:tc>
        <w:tc>
          <w:tcPr>
            <w:tcW w:w="907" w:type="dxa"/>
            <w:shd w:val="clear" w:color="auto" w:fill="FFFFFF"/>
            <w:vAlign w:val="center"/>
          </w:tcPr>
          <w:p w14:paraId="5E3D8F5A">
            <w:pPr>
              <w:pStyle w:val="151"/>
              <w:spacing w:line="240" w:lineRule="auto"/>
              <w:ind w:firstLine="0"/>
              <w:jc w:val="center"/>
              <w:rPr>
                <w:rFonts w:asciiTheme="minorEastAsia" w:hAnsiTheme="minorEastAsia" w:eastAsiaTheme="minorEastAsia"/>
                <w:color w:val="000000"/>
                <w:sz w:val="18"/>
                <w:szCs w:val="18"/>
                <w:lang w:val="en-US" w:eastAsia="en-US" w:bidi="en-US"/>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35B4A77C">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4F439B76">
            <w:pPr>
              <w:rPr>
                <w:rFonts w:cs="宋体" w:asciiTheme="minorEastAsia" w:hAnsiTheme="minorEastAsia" w:eastAsiaTheme="minorEastAsia"/>
                <w:sz w:val="18"/>
                <w:szCs w:val="18"/>
              </w:rPr>
            </w:pPr>
          </w:p>
        </w:tc>
        <w:tc>
          <w:tcPr>
            <w:tcW w:w="2006" w:type="dxa"/>
            <w:gridSpan w:val="2"/>
            <w:shd w:val="clear" w:color="auto" w:fill="FFFFFF"/>
            <w:vAlign w:val="center"/>
          </w:tcPr>
          <w:p w14:paraId="3F1172D0">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8.2</w:t>
            </w:r>
          </w:p>
        </w:tc>
      </w:tr>
      <w:tr w14:paraId="0302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22" w:type="dxa"/>
            <w:shd w:val="clear" w:color="auto" w:fill="FFFFFF"/>
            <w:vAlign w:val="center"/>
          </w:tcPr>
          <w:p w14:paraId="6DCBB15B">
            <w:pPr>
              <w:pStyle w:val="151"/>
              <w:spacing w:line="240" w:lineRule="auto"/>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2</w:t>
            </w:r>
          </w:p>
        </w:tc>
        <w:tc>
          <w:tcPr>
            <w:tcW w:w="3600" w:type="dxa"/>
            <w:shd w:val="clear" w:color="auto" w:fill="FFFFFF"/>
            <w:vAlign w:val="center"/>
          </w:tcPr>
          <w:p w14:paraId="406729A3">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eastAsia="zh-CN"/>
              </w:rPr>
              <w:t>绝缘电阻试验</w:t>
            </w:r>
          </w:p>
        </w:tc>
        <w:tc>
          <w:tcPr>
            <w:tcW w:w="907" w:type="dxa"/>
            <w:shd w:val="clear" w:color="auto" w:fill="FFFFFF"/>
            <w:vAlign w:val="center"/>
          </w:tcPr>
          <w:p w14:paraId="4717BAE7">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641C53A9">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7BCDE73A">
            <w:pPr>
              <w:rPr>
                <w:rFonts w:cs="宋体" w:asciiTheme="minorEastAsia" w:hAnsiTheme="minorEastAsia" w:eastAsiaTheme="minorEastAsia"/>
                <w:sz w:val="18"/>
                <w:szCs w:val="18"/>
              </w:rPr>
            </w:pPr>
          </w:p>
        </w:tc>
        <w:tc>
          <w:tcPr>
            <w:tcW w:w="2006" w:type="dxa"/>
            <w:gridSpan w:val="2"/>
            <w:shd w:val="clear" w:color="auto" w:fill="FFFFFF"/>
            <w:vAlign w:val="center"/>
          </w:tcPr>
          <w:p w14:paraId="77B6338A">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8.3</w:t>
            </w:r>
          </w:p>
        </w:tc>
      </w:tr>
      <w:tr w14:paraId="3FF6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22" w:type="dxa"/>
            <w:shd w:val="clear" w:color="auto" w:fill="FFFFFF"/>
            <w:vAlign w:val="center"/>
          </w:tcPr>
          <w:p w14:paraId="548C66B3">
            <w:pPr>
              <w:pStyle w:val="151"/>
              <w:spacing w:line="240" w:lineRule="auto"/>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3</w:t>
            </w:r>
          </w:p>
        </w:tc>
        <w:tc>
          <w:tcPr>
            <w:tcW w:w="3600" w:type="dxa"/>
            <w:shd w:val="clear" w:color="auto" w:fill="FFFFFF"/>
            <w:vAlign w:val="center"/>
          </w:tcPr>
          <w:p w14:paraId="13BF040D">
            <w:pPr>
              <w:pStyle w:val="151"/>
              <w:spacing w:line="240" w:lineRule="auto"/>
              <w:ind w:firstLine="0"/>
              <w:jc w:val="left"/>
              <w:rPr>
                <w:rFonts w:asciiTheme="minorEastAsia" w:hAnsiTheme="minorEastAsia" w:eastAsiaTheme="minorEastAsia"/>
                <w:sz w:val="18"/>
                <w:szCs w:val="18"/>
                <w:highlight w:val="yellow"/>
                <w:lang w:eastAsia="zh-CN"/>
              </w:rPr>
            </w:pPr>
            <w:r>
              <w:rPr>
                <w:rFonts w:hint="eastAsia" w:asciiTheme="minorEastAsia" w:hAnsiTheme="minorEastAsia" w:eastAsiaTheme="minorEastAsia"/>
                <w:color w:val="000000"/>
                <w:sz w:val="18"/>
                <w:szCs w:val="18"/>
              </w:rPr>
              <w:t>绝缘试验</w:t>
            </w:r>
          </w:p>
        </w:tc>
        <w:tc>
          <w:tcPr>
            <w:tcW w:w="907" w:type="dxa"/>
            <w:shd w:val="clear" w:color="auto" w:fill="FFFFFF"/>
            <w:vAlign w:val="center"/>
          </w:tcPr>
          <w:p w14:paraId="1618211E">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79C70E09">
            <w:pPr>
              <w:pStyle w:val="151"/>
              <w:spacing w:line="240" w:lineRule="auto"/>
              <w:ind w:firstLine="0"/>
              <w:jc w:val="center"/>
              <w:rPr>
                <w:rFonts w:asciiTheme="minorEastAsia" w:hAnsiTheme="minorEastAsia" w:eastAsiaTheme="minorEastAsia"/>
                <w:sz w:val="18"/>
                <w:szCs w:val="18"/>
              </w:rPr>
            </w:pPr>
          </w:p>
        </w:tc>
        <w:tc>
          <w:tcPr>
            <w:tcW w:w="902" w:type="dxa"/>
            <w:shd w:val="clear" w:color="auto" w:fill="FFFFFF"/>
          </w:tcPr>
          <w:p w14:paraId="0FE25789">
            <w:pPr>
              <w:rPr>
                <w:rFonts w:cs="宋体" w:asciiTheme="minorEastAsia" w:hAnsiTheme="minorEastAsia" w:eastAsiaTheme="minorEastAsia"/>
                <w:sz w:val="18"/>
                <w:szCs w:val="18"/>
              </w:rPr>
            </w:pPr>
          </w:p>
        </w:tc>
        <w:tc>
          <w:tcPr>
            <w:tcW w:w="2006" w:type="dxa"/>
            <w:gridSpan w:val="2"/>
            <w:shd w:val="clear" w:color="auto" w:fill="FFFFFF"/>
            <w:vAlign w:val="center"/>
          </w:tcPr>
          <w:p w14:paraId="28BFE659">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8.4</w:t>
            </w:r>
          </w:p>
        </w:tc>
      </w:tr>
      <w:tr w14:paraId="3299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exact"/>
          <w:jc w:val="center"/>
        </w:trPr>
        <w:tc>
          <w:tcPr>
            <w:tcW w:w="922" w:type="dxa"/>
            <w:shd w:val="clear" w:color="auto" w:fill="FFFFFF"/>
            <w:vAlign w:val="center"/>
          </w:tcPr>
          <w:p w14:paraId="700816A4">
            <w:pPr>
              <w:pStyle w:val="151"/>
              <w:spacing w:line="240" w:lineRule="auto"/>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4</w:t>
            </w:r>
          </w:p>
        </w:tc>
        <w:tc>
          <w:tcPr>
            <w:tcW w:w="3600" w:type="dxa"/>
            <w:shd w:val="clear" w:color="auto" w:fill="FFFFFF"/>
            <w:vAlign w:val="center"/>
          </w:tcPr>
          <w:p w14:paraId="7FBBC7C5">
            <w:pPr>
              <w:pStyle w:val="151"/>
              <w:spacing w:line="240" w:lineRule="auto"/>
              <w:ind w:firstLine="0"/>
              <w:jc w:val="left"/>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rPr>
              <w:t>额定电流</w:t>
            </w:r>
            <w:r>
              <w:rPr>
                <w:rFonts w:hint="eastAsia" w:asciiTheme="minorEastAsia" w:hAnsiTheme="minorEastAsia" w:eastAsiaTheme="minorEastAsia"/>
                <w:color w:val="000000"/>
                <w:sz w:val="18"/>
                <w:szCs w:val="18"/>
                <w:lang w:eastAsia="zh-CN"/>
              </w:rPr>
              <w:t>试验</w:t>
            </w:r>
          </w:p>
        </w:tc>
        <w:tc>
          <w:tcPr>
            <w:tcW w:w="907" w:type="dxa"/>
            <w:shd w:val="clear" w:color="auto" w:fill="FFFFFF"/>
            <w:vAlign w:val="center"/>
          </w:tcPr>
          <w:p w14:paraId="4137DC55">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322A585C">
            <w:pPr>
              <w:rPr>
                <w:rFonts w:cs="宋体" w:asciiTheme="minorEastAsia" w:hAnsiTheme="minorEastAsia" w:eastAsiaTheme="minorEastAsia"/>
                <w:sz w:val="18"/>
                <w:szCs w:val="18"/>
              </w:rPr>
            </w:pPr>
          </w:p>
        </w:tc>
        <w:tc>
          <w:tcPr>
            <w:tcW w:w="902" w:type="dxa"/>
            <w:shd w:val="clear" w:color="auto" w:fill="FFFFFF"/>
          </w:tcPr>
          <w:p w14:paraId="1B9B9218">
            <w:pPr>
              <w:rPr>
                <w:rFonts w:cs="宋体" w:asciiTheme="minorEastAsia" w:hAnsiTheme="minorEastAsia" w:eastAsiaTheme="minorEastAsia"/>
                <w:sz w:val="18"/>
                <w:szCs w:val="18"/>
              </w:rPr>
            </w:pPr>
          </w:p>
        </w:tc>
        <w:tc>
          <w:tcPr>
            <w:tcW w:w="2006" w:type="dxa"/>
            <w:gridSpan w:val="2"/>
            <w:shd w:val="clear" w:color="auto" w:fill="FFFFFF"/>
            <w:vAlign w:val="center"/>
          </w:tcPr>
          <w:p w14:paraId="3FCD744E">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5</w:t>
            </w:r>
          </w:p>
        </w:tc>
      </w:tr>
      <w:tr w14:paraId="50E4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9" w:hRule="exact"/>
          <w:jc w:val="center"/>
        </w:trPr>
        <w:tc>
          <w:tcPr>
            <w:tcW w:w="922" w:type="dxa"/>
            <w:shd w:val="clear" w:color="auto" w:fill="FFFFFF"/>
            <w:vAlign w:val="center"/>
          </w:tcPr>
          <w:p w14:paraId="1F03780C">
            <w:pPr>
              <w:pStyle w:val="151"/>
              <w:spacing w:line="240" w:lineRule="auto"/>
              <w:jc w:val="left"/>
              <w:rPr>
                <w:rFonts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5</w:t>
            </w:r>
          </w:p>
        </w:tc>
        <w:tc>
          <w:tcPr>
            <w:tcW w:w="3600" w:type="dxa"/>
            <w:shd w:val="clear" w:color="auto" w:fill="FFFFFF"/>
            <w:vAlign w:val="center"/>
          </w:tcPr>
          <w:p w14:paraId="28553385">
            <w:pPr>
              <w:pStyle w:val="151"/>
              <w:spacing w:line="240" w:lineRule="auto"/>
              <w:ind w:firstLine="0"/>
              <w:jc w:val="left"/>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短时耐受和峰值耐受试验</w:t>
            </w:r>
          </w:p>
        </w:tc>
        <w:tc>
          <w:tcPr>
            <w:tcW w:w="907" w:type="dxa"/>
            <w:shd w:val="clear" w:color="auto" w:fill="FFFFFF"/>
            <w:vAlign w:val="center"/>
          </w:tcPr>
          <w:p w14:paraId="4906E5F6">
            <w:pPr>
              <w:pStyle w:val="151"/>
              <w:spacing w:line="240" w:lineRule="auto"/>
              <w:ind w:firstLine="0"/>
              <w:jc w:val="center"/>
              <w:rPr>
                <w:rFonts w:asciiTheme="minorEastAsia" w:hAnsiTheme="minorEastAsia" w:eastAsiaTheme="minorEastAsia"/>
                <w:color w:val="000000"/>
                <w:sz w:val="18"/>
                <w:szCs w:val="18"/>
                <w:lang w:val="en-US" w:eastAsia="en-US" w:bidi="en-US"/>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4BC58D5D">
            <w:pPr>
              <w:rPr>
                <w:rFonts w:cs="宋体" w:asciiTheme="minorEastAsia" w:hAnsiTheme="minorEastAsia" w:eastAsiaTheme="minorEastAsia"/>
                <w:sz w:val="18"/>
                <w:szCs w:val="18"/>
              </w:rPr>
            </w:pPr>
          </w:p>
        </w:tc>
        <w:tc>
          <w:tcPr>
            <w:tcW w:w="902" w:type="dxa"/>
            <w:shd w:val="clear" w:color="auto" w:fill="FFFFFF"/>
          </w:tcPr>
          <w:p w14:paraId="0F71C09D">
            <w:pPr>
              <w:rPr>
                <w:rFonts w:cs="宋体" w:asciiTheme="minorEastAsia" w:hAnsiTheme="minorEastAsia" w:eastAsiaTheme="minorEastAsia"/>
                <w:sz w:val="18"/>
                <w:szCs w:val="18"/>
              </w:rPr>
            </w:pPr>
          </w:p>
        </w:tc>
        <w:tc>
          <w:tcPr>
            <w:tcW w:w="2006" w:type="dxa"/>
            <w:gridSpan w:val="2"/>
            <w:shd w:val="clear" w:color="auto" w:fill="FFFFFF"/>
            <w:vAlign w:val="center"/>
          </w:tcPr>
          <w:p w14:paraId="4B2C817F">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6</w:t>
            </w:r>
          </w:p>
        </w:tc>
      </w:tr>
      <w:tr w14:paraId="24D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9" w:hRule="exact"/>
          <w:jc w:val="center"/>
        </w:trPr>
        <w:tc>
          <w:tcPr>
            <w:tcW w:w="922" w:type="dxa"/>
            <w:shd w:val="clear" w:color="auto" w:fill="FFFFFF"/>
            <w:vAlign w:val="center"/>
          </w:tcPr>
          <w:p w14:paraId="1C73B016">
            <w:pPr>
              <w:pStyle w:val="151"/>
              <w:spacing w:line="240" w:lineRule="auto"/>
              <w:jc w:val="left"/>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val="en-US" w:eastAsia="zh-CN"/>
              </w:rPr>
              <w:t>6</w:t>
            </w:r>
          </w:p>
        </w:tc>
        <w:tc>
          <w:tcPr>
            <w:tcW w:w="3600" w:type="dxa"/>
            <w:shd w:val="clear" w:color="auto" w:fill="FFFFFF"/>
            <w:vAlign w:val="center"/>
          </w:tcPr>
          <w:p w14:paraId="674D9F4A">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温升试验</w:t>
            </w:r>
          </w:p>
        </w:tc>
        <w:tc>
          <w:tcPr>
            <w:tcW w:w="907" w:type="dxa"/>
            <w:shd w:val="clear" w:color="auto" w:fill="FFFFFF"/>
            <w:vAlign w:val="center"/>
          </w:tcPr>
          <w:p w14:paraId="4525BFD0">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6FDD38A1">
            <w:pPr>
              <w:rPr>
                <w:rFonts w:cs="宋体" w:asciiTheme="minorEastAsia" w:hAnsiTheme="minorEastAsia" w:eastAsiaTheme="minorEastAsia"/>
                <w:sz w:val="18"/>
                <w:szCs w:val="18"/>
              </w:rPr>
            </w:pPr>
          </w:p>
        </w:tc>
        <w:tc>
          <w:tcPr>
            <w:tcW w:w="902" w:type="dxa"/>
            <w:shd w:val="clear" w:color="auto" w:fill="FFFFFF"/>
          </w:tcPr>
          <w:p w14:paraId="68AB6E8F">
            <w:pPr>
              <w:rPr>
                <w:rFonts w:cs="宋体" w:asciiTheme="minorEastAsia" w:hAnsiTheme="minorEastAsia" w:eastAsiaTheme="minorEastAsia"/>
                <w:sz w:val="18"/>
                <w:szCs w:val="18"/>
              </w:rPr>
            </w:pPr>
          </w:p>
        </w:tc>
        <w:tc>
          <w:tcPr>
            <w:tcW w:w="2006" w:type="dxa"/>
            <w:gridSpan w:val="2"/>
            <w:shd w:val="clear" w:color="auto" w:fill="FFFFFF"/>
            <w:vAlign w:val="center"/>
          </w:tcPr>
          <w:p w14:paraId="013209B6">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7</w:t>
            </w:r>
          </w:p>
        </w:tc>
      </w:tr>
      <w:tr w14:paraId="6A00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033DABC5">
            <w:pPr>
              <w:pStyle w:val="151"/>
              <w:spacing w:line="240" w:lineRule="auto"/>
              <w:jc w:val="left"/>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val="en-US" w:eastAsia="zh-CN"/>
              </w:rPr>
              <w:t>7</w:t>
            </w:r>
          </w:p>
        </w:tc>
        <w:tc>
          <w:tcPr>
            <w:tcW w:w="3600" w:type="dxa"/>
            <w:shd w:val="clear" w:color="auto" w:fill="FFFFFF"/>
            <w:vAlign w:val="center"/>
          </w:tcPr>
          <w:p w14:paraId="0C2E623E">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辅助装置检查</w:t>
            </w:r>
          </w:p>
        </w:tc>
        <w:tc>
          <w:tcPr>
            <w:tcW w:w="907" w:type="dxa"/>
            <w:shd w:val="clear" w:color="auto" w:fill="FFFFFF"/>
            <w:vAlign w:val="center"/>
          </w:tcPr>
          <w:p w14:paraId="22310880">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470AB375">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4F1D1DE6">
            <w:pPr>
              <w:rPr>
                <w:rFonts w:cs="宋体" w:asciiTheme="minorEastAsia" w:hAnsiTheme="minorEastAsia" w:eastAsiaTheme="minorEastAsia"/>
                <w:sz w:val="18"/>
                <w:szCs w:val="18"/>
              </w:rPr>
            </w:pPr>
          </w:p>
        </w:tc>
        <w:tc>
          <w:tcPr>
            <w:tcW w:w="1996" w:type="dxa"/>
            <w:shd w:val="clear" w:color="auto" w:fill="FFFFFF"/>
            <w:vAlign w:val="center"/>
          </w:tcPr>
          <w:p w14:paraId="48102EED">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8</w:t>
            </w:r>
            <w:r>
              <w:rPr>
                <w:rFonts w:hint="eastAsia" w:asciiTheme="minorEastAsia" w:hAnsiTheme="minorEastAsia" w:eastAsiaTheme="minorEastAsia"/>
                <w:sz w:val="18"/>
                <w:szCs w:val="18"/>
                <w:lang w:val="en-US" w:eastAsia="zh-CN"/>
              </w:rPr>
              <w:t>.1</w:t>
            </w:r>
          </w:p>
        </w:tc>
      </w:tr>
      <w:tr w14:paraId="14E1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41D04443">
            <w:pPr>
              <w:pStyle w:val="151"/>
              <w:spacing w:line="240" w:lineRule="auto"/>
              <w:jc w:val="left"/>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val="en-US" w:eastAsia="zh-CN"/>
              </w:rPr>
              <w:t>8</w:t>
            </w:r>
          </w:p>
        </w:tc>
        <w:tc>
          <w:tcPr>
            <w:tcW w:w="3600" w:type="dxa"/>
            <w:shd w:val="clear" w:color="auto" w:fill="FFFFFF"/>
            <w:vAlign w:val="center"/>
          </w:tcPr>
          <w:p w14:paraId="3DFB95DA">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控制设备性能检查</w:t>
            </w:r>
          </w:p>
        </w:tc>
        <w:tc>
          <w:tcPr>
            <w:tcW w:w="907" w:type="dxa"/>
            <w:shd w:val="clear" w:color="auto" w:fill="FFFFFF"/>
            <w:vAlign w:val="center"/>
          </w:tcPr>
          <w:p w14:paraId="7096C1FB">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5B80F6F8">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063A1E11">
            <w:pPr>
              <w:rPr>
                <w:rFonts w:cs="宋体" w:asciiTheme="minorEastAsia" w:hAnsiTheme="minorEastAsia" w:eastAsiaTheme="minorEastAsia"/>
                <w:sz w:val="18"/>
                <w:szCs w:val="18"/>
              </w:rPr>
            </w:pPr>
          </w:p>
        </w:tc>
        <w:tc>
          <w:tcPr>
            <w:tcW w:w="1996" w:type="dxa"/>
            <w:shd w:val="clear" w:color="auto" w:fill="FFFFFF"/>
            <w:vAlign w:val="center"/>
          </w:tcPr>
          <w:p w14:paraId="15EDEC6C">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8</w:t>
            </w:r>
            <w:r>
              <w:rPr>
                <w:rFonts w:hint="eastAsia" w:asciiTheme="minorEastAsia" w:hAnsiTheme="minorEastAsia" w:eastAsiaTheme="minorEastAsia"/>
                <w:sz w:val="18"/>
                <w:szCs w:val="18"/>
                <w:lang w:val="en-US" w:eastAsia="zh-CN"/>
              </w:rPr>
              <w:t>.2</w:t>
            </w:r>
          </w:p>
        </w:tc>
      </w:tr>
      <w:tr w14:paraId="4D1C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616F83F1">
            <w:pPr>
              <w:pStyle w:val="151"/>
              <w:spacing w:line="240" w:lineRule="auto"/>
              <w:jc w:val="left"/>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val="en-US" w:eastAsia="zh-CN" w:bidi="en-US"/>
              </w:rPr>
              <w:t>9</w:t>
            </w:r>
          </w:p>
        </w:tc>
        <w:tc>
          <w:tcPr>
            <w:tcW w:w="3600" w:type="dxa"/>
            <w:shd w:val="clear" w:color="auto" w:fill="FFFFFF"/>
            <w:vAlign w:val="center"/>
          </w:tcPr>
          <w:p w14:paraId="40A69112">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保护装置检查</w:t>
            </w:r>
          </w:p>
        </w:tc>
        <w:tc>
          <w:tcPr>
            <w:tcW w:w="907" w:type="dxa"/>
            <w:shd w:val="clear" w:color="auto" w:fill="FFFFFF"/>
            <w:vAlign w:val="center"/>
          </w:tcPr>
          <w:p w14:paraId="2BC4A46E">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29F6EAD3">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tcPr>
          <w:p w14:paraId="3EBE77CB">
            <w:pPr>
              <w:rPr>
                <w:rFonts w:cs="宋体" w:asciiTheme="minorEastAsia" w:hAnsiTheme="minorEastAsia" w:eastAsiaTheme="minorEastAsia"/>
                <w:sz w:val="18"/>
                <w:szCs w:val="18"/>
              </w:rPr>
            </w:pPr>
          </w:p>
        </w:tc>
        <w:tc>
          <w:tcPr>
            <w:tcW w:w="1996" w:type="dxa"/>
            <w:shd w:val="clear" w:color="auto" w:fill="FFFFFF"/>
            <w:vAlign w:val="center"/>
          </w:tcPr>
          <w:p w14:paraId="5EB7D8CE">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8</w:t>
            </w:r>
            <w:r>
              <w:rPr>
                <w:rFonts w:hint="eastAsia" w:asciiTheme="minorEastAsia" w:hAnsiTheme="minorEastAsia" w:eastAsiaTheme="minorEastAsia"/>
                <w:sz w:val="18"/>
                <w:szCs w:val="18"/>
                <w:lang w:val="en-US" w:eastAsia="zh-CN"/>
              </w:rPr>
              <w:t>.3</w:t>
            </w:r>
          </w:p>
        </w:tc>
      </w:tr>
      <w:tr w14:paraId="0FD2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4F98BA73">
            <w:pPr>
              <w:pStyle w:val="151"/>
              <w:spacing w:line="240" w:lineRule="auto"/>
              <w:jc w:val="left"/>
              <w:rPr>
                <w:rFonts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10</w:t>
            </w:r>
          </w:p>
        </w:tc>
        <w:tc>
          <w:tcPr>
            <w:tcW w:w="3600" w:type="dxa"/>
            <w:shd w:val="clear" w:color="auto" w:fill="FFFFFF"/>
            <w:vAlign w:val="center"/>
          </w:tcPr>
          <w:p w14:paraId="5D5CC5A8">
            <w:pPr>
              <w:pStyle w:val="151"/>
              <w:spacing w:line="240" w:lineRule="auto"/>
              <w:ind w:firstLine="0"/>
              <w:jc w:val="left"/>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冷却装置检查</w:t>
            </w:r>
          </w:p>
        </w:tc>
        <w:tc>
          <w:tcPr>
            <w:tcW w:w="907" w:type="dxa"/>
            <w:shd w:val="clear" w:color="auto" w:fill="FFFFFF"/>
            <w:vAlign w:val="center"/>
          </w:tcPr>
          <w:p w14:paraId="4BDC88CC">
            <w:pPr>
              <w:pStyle w:val="151"/>
              <w:spacing w:line="240" w:lineRule="auto"/>
              <w:ind w:firstLine="0"/>
              <w:jc w:val="center"/>
              <w:rPr>
                <w:rFonts w:asciiTheme="minorEastAsia" w:hAnsiTheme="minorEastAsia" w:eastAsiaTheme="minorEastAsia"/>
                <w:sz w:val="18"/>
                <w:szCs w:val="18"/>
                <w:lang w:val="en-US" w:eastAsia="en-US" w:bidi="ar-SA"/>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16D48421">
            <w:pPr>
              <w:pStyle w:val="151"/>
              <w:spacing w:line="240" w:lineRule="auto"/>
              <w:ind w:firstLine="0"/>
              <w:jc w:val="center"/>
              <w:rPr>
                <w:rFonts w:asciiTheme="minorEastAsia" w:hAnsiTheme="minorEastAsia" w:eastAsiaTheme="minorEastAsia"/>
                <w:sz w:val="18"/>
                <w:szCs w:val="18"/>
                <w:lang w:val="en-US" w:eastAsia="en-US" w:bidi="ar-SA"/>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523ED6F5">
            <w:pPr>
              <w:pStyle w:val="151"/>
              <w:spacing w:line="240" w:lineRule="auto"/>
              <w:ind w:firstLine="0"/>
              <w:jc w:val="center"/>
              <w:rPr>
                <w:rFonts w:asciiTheme="minorEastAsia" w:hAnsiTheme="minorEastAsia" w:eastAsiaTheme="minorEastAsia"/>
                <w:color w:val="000000"/>
                <w:sz w:val="18"/>
                <w:szCs w:val="18"/>
                <w:lang w:val="en-US" w:eastAsia="en-US" w:bidi="en-US"/>
              </w:rPr>
            </w:pPr>
          </w:p>
        </w:tc>
        <w:tc>
          <w:tcPr>
            <w:tcW w:w="1996" w:type="dxa"/>
            <w:shd w:val="clear" w:color="auto" w:fill="FFFFFF"/>
            <w:vAlign w:val="center"/>
          </w:tcPr>
          <w:p w14:paraId="02CF57E6">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w:t>
            </w:r>
            <w:r>
              <w:rPr>
                <w:rFonts w:asciiTheme="minorEastAsia" w:hAnsiTheme="minorEastAsia" w:eastAsiaTheme="minorEastAsia"/>
                <w:sz w:val="18"/>
                <w:szCs w:val="18"/>
                <w:lang w:val="en-US" w:eastAsia="zh-CN"/>
              </w:rPr>
              <w:t>8</w:t>
            </w:r>
            <w:r>
              <w:rPr>
                <w:rFonts w:hint="eastAsia" w:asciiTheme="minorEastAsia" w:hAnsiTheme="minorEastAsia" w:eastAsiaTheme="minorEastAsia"/>
                <w:sz w:val="18"/>
                <w:szCs w:val="18"/>
                <w:lang w:val="en-US" w:eastAsia="zh-CN"/>
              </w:rPr>
              <w:t>.4</w:t>
            </w:r>
          </w:p>
        </w:tc>
      </w:tr>
      <w:tr w14:paraId="0E23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1D761F78">
            <w:pPr>
              <w:pStyle w:val="151"/>
              <w:spacing w:line="240" w:lineRule="auto"/>
              <w:jc w:val="left"/>
              <w:rPr>
                <w:rFonts w:asciiTheme="minorEastAsia" w:hAnsiTheme="minorEastAsia" w:eastAsiaTheme="minorEastAsia"/>
                <w:sz w:val="18"/>
                <w:szCs w:val="18"/>
                <w:lang w:val="en-US" w:eastAsia="zh-CN"/>
              </w:rPr>
            </w:pPr>
            <w:r>
              <w:rPr>
                <w:rFonts w:hint="eastAsia" w:asciiTheme="minorEastAsia" w:hAnsiTheme="minorEastAsia" w:eastAsiaTheme="minorEastAsia"/>
                <w:color w:val="000000"/>
                <w:sz w:val="18"/>
                <w:szCs w:val="18"/>
                <w:lang w:val="en-US" w:eastAsia="zh-CN"/>
              </w:rPr>
              <w:t>11</w:t>
            </w:r>
          </w:p>
        </w:tc>
        <w:tc>
          <w:tcPr>
            <w:tcW w:w="3600" w:type="dxa"/>
            <w:shd w:val="clear" w:color="auto" w:fill="FFFFFF"/>
            <w:vAlign w:val="center"/>
          </w:tcPr>
          <w:p w14:paraId="3BE6F9E9">
            <w:pPr>
              <w:pStyle w:val="151"/>
              <w:spacing w:line="240" w:lineRule="auto"/>
              <w:ind w:firstLine="0"/>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lang w:eastAsia="zh-CN"/>
              </w:rPr>
              <w:t>外壳</w:t>
            </w:r>
            <w:r>
              <w:rPr>
                <w:rFonts w:asciiTheme="minorEastAsia" w:hAnsiTheme="minorEastAsia" w:eastAsiaTheme="minorEastAsia"/>
                <w:color w:val="000000"/>
                <w:sz w:val="18"/>
                <w:szCs w:val="18"/>
              </w:rPr>
              <w:t>防护等级</w:t>
            </w:r>
          </w:p>
        </w:tc>
        <w:tc>
          <w:tcPr>
            <w:tcW w:w="907" w:type="dxa"/>
            <w:shd w:val="clear" w:color="auto" w:fill="FFFFFF"/>
            <w:vAlign w:val="center"/>
          </w:tcPr>
          <w:p w14:paraId="7A90C6C3">
            <w:pPr>
              <w:pStyle w:val="151"/>
              <w:spacing w:line="240" w:lineRule="auto"/>
              <w:ind w:firstLine="0"/>
              <w:jc w:val="center"/>
              <w:rPr>
                <w:rFonts w:asciiTheme="minorEastAsia" w:hAnsiTheme="minorEastAsia" w:eastAsiaTheme="minorEastAsia"/>
                <w:color w:val="000000"/>
                <w:sz w:val="18"/>
                <w:szCs w:val="18"/>
                <w:lang w:val="en-US" w:eastAsia="en-US" w:bidi="en-US"/>
              </w:rPr>
            </w:pPr>
            <w:r>
              <w:rPr>
                <w:rFonts w:hint="eastAsia" w:asciiTheme="minorEastAsia" w:hAnsiTheme="minorEastAsia" w:eastAsiaTheme="minorEastAsia"/>
                <w:color w:val="000000"/>
                <w:sz w:val="18"/>
                <w:szCs w:val="18"/>
                <w:lang w:val="en-US" w:eastAsia="en-US" w:bidi="en-US"/>
              </w:rPr>
              <w:t>★</w:t>
            </w:r>
          </w:p>
        </w:tc>
        <w:tc>
          <w:tcPr>
            <w:tcW w:w="902" w:type="dxa"/>
            <w:shd w:val="clear" w:color="auto" w:fill="FFFFFF"/>
            <w:vAlign w:val="center"/>
          </w:tcPr>
          <w:p w14:paraId="028D6878">
            <w:pPr>
              <w:pStyle w:val="151"/>
              <w:spacing w:line="240" w:lineRule="auto"/>
              <w:ind w:firstLine="0"/>
              <w:jc w:val="center"/>
              <w:rPr>
                <w:rFonts w:asciiTheme="minorEastAsia" w:hAnsiTheme="minorEastAsia" w:eastAsiaTheme="minorEastAsia"/>
                <w:color w:val="000000"/>
                <w:sz w:val="18"/>
                <w:szCs w:val="18"/>
                <w:lang w:val="en-US" w:eastAsia="en-US" w:bidi="en-US"/>
              </w:rPr>
            </w:pPr>
          </w:p>
        </w:tc>
        <w:tc>
          <w:tcPr>
            <w:tcW w:w="902" w:type="dxa"/>
            <w:shd w:val="clear" w:color="auto" w:fill="FFFFFF"/>
            <w:vAlign w:val="center"/>
          </w:tcPr>
          <w:p w14:paraId="1693F125">
            <w:pPr>
              <w:pStyle w:val="151"/>
              <w:spacing w:line="240" w:lineRule="auto"/>
              <w:ind w:firstLine="0"/>
              <w:jc w:val="center"/>
              <w:rPr>
                <w:rFonts w:asciiTheme="minorEastAsia" w:hAnsiTheme="minorEastAsia" w:eastAsiaTheme="minorEastAsia"/>
                <w:color w:val="000000"/>
                <w:sz w:val="18"/>
                <w:szCs w:val="18"/>
                <w:lang w:val="en-US" w:eastAsia="en-US" w:bidi="en-US"/>
              </w:rPr>
            </w:pPr>
          </w:p>
        </w:tc>
        <w:tc>
          <w:tcPr>
            <w:tcW w:w="1996" w:type="dxa"/>
            <w:shd w:val="clear" w:color="auto" w:fill="FFFFFF"/>
            <w:vAlign w:val="center"/>
          </w:tcPr>
          <w:p w14:paraId="65D59625">
            <w:pPr>
              <w:pStyle w:val="151"/>
              <w:spacing w:line="240" w:lineRule="auto"/>
              <w:ind w:firstLine="0"/>
              <w:jc w:val="center"/>
              <w:rPr>
                <w:rFonts w:asciiTheme="minorEastAsia" w:hAnsiTheme="minorEastAsia" w:eastAsiaTheme="minorEastAsia"/>
                <w:sz w:val="18"/>
                <w:szCs w:val="18"/>
                <w:lang w:val="en-US" w:eastAsia="zh-CN"/>
              </w:rPr>
            </w:pPr>
            <w:r>
              <w:rPr>
                <w:rFonts w:asciiTheme="minorEastAsia" w:hAnsiTheme="minorEastAsia" w:eastAsiaTheme="minorEastAsia"/>
                <w:sz w:val="18"/>
                <w:szCs w:val="18"/>
                <w:lang w:val="en-US" w:eastAsia="zh-CN"/>
              </w:rPr>
              <w:t>8.9</w:t>
            </w:r>
          </w:p>
        </w:tc>
      </w:tr>
      <w:tr w14:paraId="5671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5789B376">
            <w:pPr>
              <w:pStyle w:val="151"/>
              <w:spacing w:line="240" w:lineRule="auto"/>
              <w:jc w:val="left"/>
              <w:rPr>
                <w:rFonts w:asciiTheme="minorEastAsia" w:hAnsiTheme="minorEastAsia" w:eastAsiaTheme="minorEastAsia"/>
                <w:sz w:val="18"/>
                <w:szCs w:val="18"/>
                <w:lang w:val="en-US" w:eastAsia="zh-CN"/>
              </w:rPr>
            </w:pPr>
            <w:r>
              <w:rPr>
                <w:rFonts w:hint="eastAsia" w:asciiTheme="minorEastAsia" w:hAnsiTheme="minorEastAsia" w:eastAsiaTheme="minorEastAsia"/>
                <w:color w:val="000000"/>
                <w:sz w:val="18"/>
                <w:szCs w:val="18"/>
                <w:lang w:val="en-US" w:eastAsia="zh-CN"/>
              </w:rPr>
              <w:t>12</w:t>
            </w:r>
          </w:p>
        </w:tc>
        <w:tc>
          <w:tcPr>
            <w:tcW w:w="3600" w:type="dxa"/>
            <w:shd w:val="clear" w:color="auto" w:fill="FFFFFF"/>
            <w:vAlign w:val="center"/>
          </w:tcPr>
          <w:p w14:paraId="3193EBC5">
            <w:pPr>
              <w:pStyle w:val="151"/>
              <w:spacing w:line="240" w:lineRule="auto"/>
              <w:ind w:firstLine="0"/>
              <w:jc w:val="left"/>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lang w:eastAsia="zh-CN"/>
              </w:rPr>
              <w:t>电磁兼容（</w:t>
            </w:r>
            <w:r>
              <w:rPr>
                <w:rFonts w:hint="eastAsia" w:asciiTheme="minorEastAsia" w:hAnsiTheme="minorEastAsia" w:eastAsiaTheme="minorEastAsia"/>
                <w:color w:val="000000"/>
                <w:sz w:val="18"/>
                <w:szCs w:val="18"/>
                <w:lang w:val="en-US" w:eastAsia="zh-CN"/>
              </w:rPr>
              <w:t>EMC</w:t>
            </w:r>
            <w:r>
              <w:rPr>
                <w:rFonts w:hint="eastAsia" w:asciiTheme="minorEastAsia" w:hAnsiTheme="minorEastAsia" w:eastAsiaTheme="minorEastAsia"/>
                <w:color w:val="000000"/>
                <w:sz w:val="18"/>
                <w:szCs w:val="18"/>
                <w:lang w:eastAsia="zh-CN"/>
              </w:rPr>
              <w:t>）试验</w:t>
            </w:r>
          </w:p>
        </w:tc>
        <w:tc>
          <w:tcPr>
            <w:tcW w:w="907" w:type="dxa"/>
            <w:shd w:val="clear" w:color="auto" w:fill="FFFFFF"/>
          </w:tcPr>
          <w:p w14:paraId="31F522A8">
            <w:pPr>
              <w:rPr>
                <w:rFonts w:cs="宋体" w:asciiTheme="minorEastAsia" w:hAnsiTheme="minorEastAsia" w:eastAsiaTheme="minorEastAsia"/>
                <w:sz w:val="18"/>
                <w:szCs w:val="18"/>
              </w:rPr>
            </w:pPr>
          </w:p>
        </w:tc>
        <w:tc>
          <w:tcPr>
            <w:tcW w:w="902" w:type="dxa"/>
            <w:shd w:val="clear" w:color="auto" w:fill="FFFFFF"/>
          </w:tcPr>
          <w:p w14:paraId="72C0BB4B">
            <w:pPr>
              <w:rPr>
                <w:rFonts w:cs="宋体" w:asciiTheme="minorEastAsia" w:hAnsiTheme="minorEastAsia" w:eastAsiaTheme="minorEastAsia"/>
                <w:sz w:val="18"/>
                <w:szCs w:val="18"/>
              </w:rPr>
            </w:pPr>
          </w:p>
        </w:tc>
        <w:tc>
          <w:tcPr>
            <w:tcW w:w="902" w:type="dxa"/>
            <w:shd w:val="clear" w:color="auto" w:fill="FFFFFF"/>
            <w:vAlign w:val="center"/>
          </w:tcPr>
          <w:p w14:paraId="3CAF811B">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1996" w:type="dxa"/>
            <w:shd w:val="clear" w:color="auto" w:fill="FFFFFF"/>
            <w:vAlign w:val="center"/>
          </w:tcPr>
          <w:p w14:paraId="4A9F7537">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8.10</w:t>
            </w:r>
          </w:p>
        </w:tc>
      </w:tr>
      <w:tr w14:paraId="722C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5" w:hRule="exact"/>
          <w:jc w:val="center"/>
        </w:trPr>
        <w:tc>
          <w:tcPr>
            <w:tcW w:w="922" w:type="dxa"/>
            <w:shd w:val="clear" w:color="auto" w:fill="FFFFFF"/>
            <w:vAlign w:val="center"/>
          </w:tcPr>
          <w:p w14:paraId="6D98F95B">
            <w:pPr>
              <w:pStyle w:val="151"/>
              <w:spacing w:line="240" w:lineRule="auto"/>
              <w:jc w:val="left"/>
              <w:rPr>
                <w:rFonts w:asciiTheme="minorEastAsia" w:hAnsiTheme="minorEastAsia" w:eastAsiaTheme="minorEastAsia"/>
                <w:sz w:val="18"/>
                <w:szCs w:val="18"/>
                <w:lang w:val="en-US" w:eastAsia="zh-CN"/>
              </w:rPr>
            </w:pPr>
            <w:r>
              <w:rPr>
                <w:rFonts w:asciiTheme="minorEastAsia" w:hAnsiTheme="minorEastAsia" w:eastAsiaTheme="minorEastAsia"/>
                <w:sz w:val="18"/>
                <w:szCs w:val="18"/>
                <w:lang w:val="en-US" w:eastAsia="zh-CN"/>
              </w:rPr>
              <w:t>1</w:t>
            </w:r>
            <w:r>
              <w:rPr>
                <w:rFonts w:hint="eastAsia" w:asciiTheme="minorEastAsia" w:hAnsiTheme="minorEastAsia" w:eastAsiaTheme="minorEastAsia"/>
                <w:sz w:val="18"/>
                <w:szCs w:val="18"/>
                <w:lang w:val="en-US" w:eastAsia="zh-CN"/>
              </w:rPr>
              <w:t>3</w:t>
            </w:r>
          </w:p>
        </w:tc>
        <w:tc>
          <w:tcPr>
            <w:tcW w:w="3600" w:type="dxa"/>
            <w:shd w:val="clear" w:color="auto" w:fill="FFFFFF"/>
            <w:vAlign w:val="center"/>
          </w:tcPr>
          <w:p w14:paraId="67D30155">
            <w:pPr>
              <w:pStyle w:val="151"/>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eastAsia="zh-CN"/>
              </w:rPr>
              <w:t>可</w:t>
            </w:r>
            <w:r>
              <w:rPr>
                <w:rFonts w:hint="eastAsia" w:asciiTheme="minorEastAsia" w:hAnsiTheme="minorEastAsia" w:eastAsiaTheme="minorEastAsia"/>
                <w:color w:val="000000"/>
                <w:sz w:val="18"/>
                <w:szCs w:val="18"/>
              </w:rPr>
              <w:t>听噪声测量</w:t>
            </w:r>
          </w:p>
        </w:tc>
        <w:tc>
          <w:tcPr>
            <w:tcW w:w="907" w:type="dxa"/>
            <w:shd w:val="clear" w:color="auto" w:fill="FFFFFF"/>
          </w:tcPr>
          <w:p w14:paraId="1479D922">
            <w:pPr>
              <w:rPr>
                <w:rFonts w:cs="宋体" w:asciiTheme="minorEastAsia" w:hAnsiTheme="minorEastAsia" w:eastAsiaTheme="minorEastAsia"/>
                <w:sz w:val="18"/>
                <w:szCs w:val="18"/>
                <w:lang w:eastAsia="en-US"/>
              </w:rPr>
            </w:pPr>
          </w:p>
        </w:tc>
        <w:tc>
          <w:tcPr>
            <w:tcW w:w="902" w:type="dxa"/>
            <w:shd w:val="clear" w:color="auto" w:fill="FFFFFF"/>
          </w:tcPr>
          <w:p w14:paraId="67EFD495">
            <w:pPr>
              <w:rPr>
                <w:rFonts w:cs="宋体" w:asciiTheme="minorEastAsia" w:hAnsiTheme="minorEastAsia" w:eastAsiaTheme="minorEastAsia"/>
                <w:sz w:val="18"/>
                <w:szCs w:val="18"/>
                <w:lang w:eastAsia="en-US"/>
              </w:rPr>
            </w:pPr>
          </w:p>
        </w:tc>
        <w:tc>
          <w:tcPr>
            <w:tcW w:w="902" w:type="dxa"/>
            <w:shd w:val="clear" w:color="auto" w:fill="FFFFFF"/>
            <w:vAlign w:val="center"/>
          </w:tcPr>
          <w:p w14:paraId="7ACCF531">
            <w:pPr>
              <w:pStyle w:val="151"/>
              <w:spacing w:line="240" w:lineRule="auto"/>
              <w:ind w:firstLine="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lang w:val="en-US" w:eastAsia="en-US" w:bidi="en-US"/>
              </w:rPr>
              <w:t>(★)</w:t>
            </w:r>
          </w:p>
        </w:tc>
        <w:tc>
          <w:tcPr>
            <w:tcW w:w="1996" w:type="dxa"/>
            <w:shd w:val="clear" w:color="auto" w:fill="FFFFFF"/>
            <w:vAlign w:val="center"/>
          </w:tcPr>
          <w:p w14:paraId="329DDB15">
            <w:pPr>
              <w:pStyle w:val="151"/>
              <w:spacing w:line="240" w:lineRule="auto"/>
              <w:ind w:firstLine="0"/>
              <w:jc w:val="center"/>
              <w:rPr>
                <w:rFonts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8.11</w:t>
            </w:r>
          </w:p>
        </w:tc>
      </w:tr>
    </w:tbl>
    <w:p w14:paraId="197249D2">
      <w:pPr>
        <w:pStyle w:val="144"/>
        <w:spacing w:line="322" w:lineRule="exact"/>
        <w:ind w:firstLine="440"/>
      </w:pPr>
    </w:p>
    <w:p w14:paraId="73967998">
      <w:pPr>
        <w:pStyle w:val="45"/>
        <w:numPr>
          <w:ilvl w:val="1"/>
          <w:numId w:val="2"/>
        </w:numPr>
        <w:adjustRightInd w:val="0"/>
        <w:snapToGrid w:val="0"/>
        <w:spacing w:before="156" w:beforeLines="50" w:after="156" w:afterLines="50"/>
        <w:ind w:left="0"/>
        <w:outlineLvl w:val="2"/>
      </w:pPr>
      <w:bookmarkStart w:id="64" w:name="_Toc123130262"/>
      <w:r>
        <w:rPr>
          <w:rFonts w:hint="eastAsia"/>
        </w:rPr>
        <w:t>轻载试验和功能试验</w:t>
      </w:r>
      <w:bookmarkEnd w:id="64"/>
    </w:p>
    <w:p w14:paraId="06498653">
      <w:pPr>
        <w:pStyle w:val="144"/>
        <w:spacing w:after="80" w:line="326" w:lineRule="exact"/>
        <w:ind w:firstLine="400"/>
        <w:rPr>
          <w:sz w:val="21"/>
          <w:szCs w:val="21"/>
        </w:rPr>
      </w:pPr>
      <w:r>
        <w:rPr>
          <w:rFonts w:hint="eastAsia"/>
          <w:color w:val="000000"/>
          <w:sz w:val="21"/>
          <w:szCs w:val="21"/>
        </w:rPr>
        <w:t>轻载试验和功能试验分别规定如下：</w:t>
      </w:r>
    </w:p>
    <w:p w14:paraId="3A35B0A4">
      <w:pPr>
        <w:pStyle w:val="144"/>
        <w:tabs>
          <w:tab w:val="left" w:pos="818"/>
        </w:tabs>
        <w:spacing w:line="360" w:lineRule="auto"/>
        <w:ind w:firstLine="400"/>
        <w:rPr>
          <w:sz w:val="21"/>
          <w:szCs w:val="21"/>
        </w:rPr>
      </w:pPr>
      <w:r>
        <w:rPr>
          <w:rFonts w:hint="eastAsia"/>
          <w:color w:val="000000"/>
          <w:sz w:val="21"/>
          <w:szCs w:val="21"/>
          <w:lang w:val="en-US" w:eastAsia="zh-CN" w:bidi="en-US"/>
        </w:rPr>
        <w:t>a）</w:t>
      </w:r>
      <w:r>
        <w:rPr>
          <w:rFonts w:hint="eastAsia"/>
          <w:color w:val="000000"/>
          <w:sz w:val="21"/>
          <w:szCs w:val="21"/>
          <w:lang w:val="en-US" w:eastAsia="zh-CN" w:bidi="en-US"/>
        </w:rPr>
        <w:tab/>
      </w:r>
      <w:r>
        <w:rPr>
          <w:rFonts w:hint="eastAsia"/>
          <w:color w:val="000000"/>
          <w:sz w:val="21"/>
          <w:szCs w:val="21"/>
        </w:rPr>
        <w:t>轻载试验</w:t>
      </w:r>
    </w:p>
    <w:p w14:paraId="6BC24D51">
      <w:pPr>
        <w:pStyle w:val="144"/>
        <w:spacing w:line="298" w:lineRule="exact"/>
        <w:ind w:left="820" w:firstLine="20"/>
        <w:rPr>
          <w:sz w:val="21"/>
          <w:szCs w:val="21"/>
        </w:rPr>
      </w:pPr>
      <w:r>
        <w:rPr>
          <w:rFonts w:hint="eastAsia"/>
          <w:color w:val="000000"/>
          <w:sz w:val="21"/>
          <w:szCs w:val="21"/>
        </w:rPr>
        <w:t>轻载试验的目的是验证设备电气线路的所有部分以及设备的冷却能否与主电路一起正常运行。</w:t>
      </w:r>
    </w:p>
    <w:p w14:paraId="6BA19647">
      <w:pPr>
        <w:pStyle w:val="144"/>
        <w:spacing w:line="315" w:lineRule="exact"/>
        <w:ind w:left="820" w:firstLine="0"/>
        <w:rPr>
          <w:sz w:val="21"/>
          <w:szCs w:val="21"/>
        </w:rPr>
      </w:pPr>
      <w:r>
        <w:rPr>
          <w:rFonts w:hint="eastAsia"/>
          <w:color w:val="000000"/>
          <w:sz w:val="21"/>
          <w:szCs w:val="21"/>
        </w:rPr>
        <w:t>对于出厂试验，在额定输入电压下验证。对于型式试验</w:t>
      </w:r>
      <w:r>
        <w:rPr>
          <w:rFonts w:hint="eastAsia"/>
          <w:color w:val="000000"/>
          <w:sz w:val="21"/>
          <w:szCs w:val="21"/>
          <w:lang w:eastAsia="zh-CN"/>
        </w:rPr>
        <w:t>，</w:t>
      </w:r>
      <w:r>
        <w:rPr>
          <w:rFonts w:hint="eastAsia"/>
          <w:color w:val="000000"/>
          <w:sz w:val="21"/>
          <w:szCs w:val="21"/>
        </w:rPr>
        <w:t>在输入电压的最大值和最小值下验</w:t>
      </w:r>
      <w:r>
        <w:rPr>
          <w:rFonts w:hint="eastAsia"/>
          <w:color w:val="000000"/>
          <w:sz w:val="21"/>
          <w:szCs w:val="21"/>
          <w:lang w:eastAsia="zh-CN"/>
        </w:rPr>
        <w:t>证</w:t>
      </w:r>
      <w:r>
        <w:rPr>
          <w:rFonts w:hint="eastAsia"/>
          <w:color w:val="000000"/>
          <w:sz w:val="21"/>
          <w:szCs w:val="21"/>
          <w:lang w:val="zh-CN" w:eastAsia="zh-CN" w:bidi="zh-CN"/>
        </w:rPr>
        <w:t>受试</w:t>
      </w:r>
      <w:r>
        <w:rPr>
          <w:rFonts w:hint="eastAsia"/>
          <w:color w:val="000000"/>
          <w:sz w:val="21"/>
          <w:szCs w:val="21"/>
        </w:rPr>
        <w:t>设备的功能。</w:t>
      </w:r>
    </w:p>
    <w:p w14:paraId="0F131336">
      <w:pPr>
        <w:pStyle w:val="144"/>
        <w:spacing w:after="80" w:line="315" w:lineRule="exact"/>
        <w:ind w:left="820" w:firstLine="20"/>
        <w:rPr>
          <w:sz w:val="21"/>
          <w:szCs w:val="21"/>
          <w:lang w:eastAsia="zh-CN"/>
        </w:rPr>
      </w:pPr>
      <w:r>
        <w:rPr>
          <w:rFonts w:hint="eastAsia"/>
          <w:color w:val="000000"/>
          <w:sz w:val="21"/>
          <w:szCs w:val="21"/>
        </w:rPr>
        <w:t>如果</w:t>
      </w:r>
      <w:r>
        <w:rPr>
          <w:rFonts w:hint="eastAsia"/>
          <w:color w:val="000000"/>
          <w:sz w:val="21"/>
          <w:szCs w:val="21"/>
          <w:lang w:eastAsia="zh-CN"/>
        </w:rPr>
        <w:t>开关</w:t>
      </w:r>
      <w:r>
        <w:rPr>
          <w:rFonts w:hint="eastAsia"/>
          <w:color w:val="000000"/>
          <w:sz w:val="21"/>
          <w:szCs w:val="21"/>
        </w:rPr>
        <w:t>的臂由串联连接的半导体器件构成</w:t>
      </w:r>
      <w:r>
        <w:rPr>
          <w:rFonts w:hint="eastAsia"/>
          <w:color w:val="000000"/>
          <w:sz w:val="21"/>
          <w:szCs w:val="21"/>
          <w:lang w:eastAsia="zh-CN"/>
        </w:rPr>
        <w:t>，</w:t>
      </w:r>
      <w:r>
        <w:rPr>
          <w:rFonts w:hint="eastAsia"/>
          <w:color w:val="000000"/>
          <w:sz w:val="21"/>
          <w:szCs w:val="21"/>
        </w:rPr>
        <w:t>应检查电压的均衡分配情况。对于高压</w:t>
      </w:r>
      <w:r>
        <w:rPr>
          <w:rFonts w:hint="eastAsia"/>
          <w:color w:val="000000"/>
          <w:sz w:val="21"/>
          <w:szCs w:val="21"/>
          <w:lang w:eastAsia="zh-CN"/>
        </w:rPr>
        <w:t>开关</w:t>
      </w:r>
      <w:r>
        <w:rPr>
          <w:rFonts w:hint="eastAsia"/>
          <w:color w:val="000000"/>
          <w:sz w:val="21"/>
          <w:szCs w:val="21"/>
        </w:rPr>
        <w:t>，这可在低于额定电压下检查</w:t>
      </w:r>
      <w:r>
        <w:rPr>
          <w:rFonts w:hint="eastAsia"/>
          <w:color w:val="000000"/>
          <w:sz w:val="21"/>
          <w:szCs w:val="21"/>
          <w:lang w:eastAsia="zh-CN"/>
        </w:rPr>
        <w:t>。</w:t>
      </w:r>
    </w:p>
    <w:p w14:paraId="015D6AEF">
      <w:pPr>
        <w:pStyle w:val="144"/>
        <w:tabs>
          <w:tab w:val="left" w:pos="818"/>
        </w:tabs>
        <w:spacing w:line="329" w:lineRule="auto"/>
        <w:ind w:firstLine="400"/>
        <w:rPr>
          <w:sz w:val="21"/>
          <w:szCs w:val="21"/>
        </w:rPr>
      </w:pPr>
      <w:r>
        <w:rPr>
          <w:rFonts w:hint="eastAsia"/>
          <w:color w:val="000000"/>
          <w:sz w:val="21"/>
          <w:szCs w:val="21"/>
          <w:lang w:val="en-US" w:eastAsia="zh-CN" w:bidi="en-US"/>
        </w:rPr>
        <w:t>b）</w:t>
      </w:r>
      <w:r>
        <w:rPr>
          <w:rFonts w:hint="eastAsia"/>
          <w:color w:val="000000"/>
          <w:sz w:val="21"/>
          <w:szCs w:val="21"/>
          <w:lang w:val="en-US" w:eastAsia="zh-CN" w:bidi="en-US"/>
        </w:rPr>
        <w:tab/>
      </w:r>
      <w:r>
        <w:rPr>
          <w:rFonts w:hint="eastAsia"/>
          <w:color w:val="000000"/>
          <w:sz w:val="21"/>
          <w:szCs w:val="21"/>
        </w:rPr>
        <w:t>功能试验</w:t>
      </w:r>
    </w:p>
    <w:p w14:paraId="34525EF7">
      <w:pPr>
        <w:pStyle w:val="144"/>
        <w:spacing w:after="140" w:line="315" w:lineRule="exact"/>
        <w:ind w:left="820" w:firstLine="20"/>
        <w:rPr>
          <w:color w:val="000000"/>
          <w:sz w:val="21"/>
          <w:szCs w:val="21"/>
        </w:rPr>
      </w:pPr>
      <w:r>
        <w:rPr>
          <w:rFonts w:hint="eastAsia"/>
          <w:color w:val="000000"/>
          <w:sz w:val="21"/>
          <w:szCs w:val="21"/>
        </w:rPr>
        <w:t>试验使用的负载应具有要求的性能。试验时，应验证控制设备、辅助装置、保护设备能否与主电路一起正常</w:t>
      </w:r>
      <w:r>
        <w:rPr>
          <w:rFonts w:hint="eastAsia"/>
          <w:color w:val="000000"/>
          <w:sz w:val="21"/>
          <w:szCs w:val="21"/>
          <w:lang w:val="zh-CN" w:eastAsia="zh-CN" w:bidi="zh-CN"/>
        </w:rPr>
        <w:t>运行，</w:t>
      </w:r>
      <w:r>
        <w:rPr>
          <w:rFonts w:hint="eastAsia"/>
          <w:color w:val="000000"/>
          <w:sz w:val="21"/>
          <w:szCs w:val="21"/>
        </w:rPr>
        <w:t>根据不同的设备类型，可采用不同的方法达到试验目的。结果应符合4.</w:t>
      </w:r>
      <w:r>
        <w:rPr>
          <w:rFonts w:eastAsia="PMingLiU"/>
          <w:color w:val="000000"/>
          <w:sz w:val="21"/>
          <w:szCs w:val="21"/>
        </w:rPr>
        <w:t>2</w:t>
      </w:r>
      <w:r>
        <w:rPr>
          <w:rFonts w:hint="eastAsia"/>
          <w:color w:val="000000"/>
          <w:sz w:val="21"/>
          <w:szCs w:val="21"/>
        </w:rPr>
        <w:t>的要求。</w:t>
      </w:r>
    </w:p>
    <w:p w14:paraId="71013814">
      <w:pPr>
        <w:pStyle w:val="45"/>
        <w:numPr>
          <w:ilvl w:val="1"/>
          <w:numId w:val="2"/>
        </w:numPr>
        <w:adjustRightInd w:val="0"/>
        <w:snapToGrid w:val="0"/>
        <w:spacing w:before="156" w:beforeLines="50" w:after="156" w:afterLines="50"/>
        <w:ind w:left="0"/>
        <w:outlineLvl w:val="2"/>
      </w:pPr>
      <w:bookmarkStart w:id="65" w:name="_Toc123130263"/>
      <w:r>
        <w:rPr>
          <w:rFonts w:hint="eastAsia"/>
        </w:rPr>
        <w:t>绝缘电阻测量</w:t>
      </w:r>
      <w:bookmarkEnd w:id="65"/>
    </w:p>
    <w:p w14:paraId="548F224A">
      <w:pPr>
        <w:pStyle w:val="144"/>
        <w:spacing w:line="355" w:lineRule="exact"/>
        <w:ind w:firstLine="420"/>
        <w:rPr>
          <w:sz w:val="21"/>
          <w:szCs w:val="21"/>
        </w:rPr>
      </w:pPr>
      <w:r>
        <w:rPr>
          <w:rFonts w:hint="eastAsia"/>
          <w:color w:val="000000"/>
          <w:sz w:val="21"/>
          <w:szCs w:val="21"/>
        </w:rPr>
        <w:t>在</w:t>
      </w:r>
      <w:r>
        <w:rPr>
          <w:rFonts w:hint="eastAsia"/>
          <w:color w:val="000000"/>
          <w:sz w:val="21"/>
          <w:szCs w:val="21"/>
          <w:lang w:eastAsia="zh-CN"/>
        </w:rPr>
        <w:t>绝缘</w:t>
      </w:r>
      <w:r>
        <w:rPr>
          <w:rFonts w:hint="eastAsia"/>
          <w:color w:val="000000"/>
          <w:sz w:val="21"/>
          <w:szCs w:val="21"/>
        </w:rPr>
        <w:t>试验</w:t>
      </w:r>
      <w:r>
        <w:rPr>
          <w:rFonts w:hint="eastAsia"/>
          <w:color w:val="000000"/>
          <w:sz w:val="21"/>
          <w:szCs w:val="21"/>
          <w:lang w:eastAsia="zh-CN"/>
        </w:rPr>
        <w:t>前</w:t>
      </w:r>
      <w:r>
        <w:rPr>
          <w:rFonts w:hint="eastAsia"/>
          <w:color w:val="000000"/>
          <w:sz w:val="21"/>
          <w:szCs w:val="21"/>
        </w:rPr>
        <w:t xml:space="preserve">后1 </w:t>
      </w:r>
      <w:r>
        <w:rPr>
          <w:rFonts w:hint="eastAsia"/>
          <w:color w:val="000000"/>
          <w:sz w:val="21"/>
          <w:szCs w:val="21"/>
          <w:lang w:val="en-US" w:eastAsia="zh-CN" w:bidi="en-US"/>
        </w:rPr>
        <w:t>min,</w:t>
      </w:r>
      <w:r>
        <w:rPr>
          <w:rFonts w:hint="eastAsia"/>
          <w:color w:val="000000"/>
          <w:sz w:val="21"/>
          <w:szCs w:val="21"/>
        </w:rPr>
        <w:t>应施加至少</w:t>
      </w:r>
      <w:r>
        <w:rPr>
          <w:rFonts w:hint="eastAsia"/>
          <w:color w:val="000000"/>
          <w:sz w:val="21"/>
          <w:szCs w:val="21"/>
          <w:lang w:val="en-US" w:eastAsia="zh-CN"/>
        </w:rPr>
        <w:t>2</w:t>
      </w:r>
      <w:r>
        <w:rPr>
          <w:rFonts w:hint="eastAsia"/>
          <w:color w:val="000000"/>
          <w:sz w:val="21"/>
          <w:szCs w:val="21"/>
        </w:rPr>
        <w:t>500 V直流电压测量绝缘电阻。绝缘电阻应大于1 0</w:t>
      </w:r>
      <w:r>
        <w:rPr>
          <w:rFonts w:hint="eastAsia"/>
          <w:color w:val="000000"/>
          <w:sz w:val="21"/>
          <w:szCs w:val="21"/>
          <w:lang w:val="en-US" w:eastAsia="zh-CN"/>
        </w:rPr>
        <w:t>0</w:t>
      </w:r>
      <w:r>
        <w:rPr>
          <w:rFonts w:hint="eastAsia"/>
          <w:color w:val="000000"/>
          <w:sz w:val="21"/>
          <w:szCs w:val="21"/>
        </w:rPr>
        <w:t>0</w:t>
      </w:r>
      <w:r>
        <w:rPr>
          <w:rFonts w:hint="eastAsia"/>
          <w:color w:val="000000"/>
          <w:sz w:val="21"/>
          <w:szCs w:val="21"/>
          <w:lang w:val="en-US" w:eastAsia="zh-CN"/>
        </w:rPr>
        <w:t>M</w:t>
      </w:r>
      <w:r>
        <w:rPr>
          <w:rFonts w:hint="eastAsia" w:ascii="微软雅黑" w:hAnsi="微软雅黑" w:eastAsia="微软雅黑" w:cs="微软雅黑"/>
          <w:color w:val="000000"/>
          <w:sz w:val="21"/>
          <w:szCs w:val="21"/>
          <w:lang w:val="en-US" w:eastAsia="zh-CN"/>
        </w:rPr>
        <w:t>Ω</w:t>
      </w:r>
      <w:r>
        <w:rPr>
          <w:rFonts w:hint="eastAsia"/>
          <w:color w:val="000000"/>
          <w:sz w:val="21"/>
          <w:szCs w:val="21"/>
          <w:lang w:val="en-US" w:eastAsia="zh-CN" w:bidi="en-US"/>
        </w:rPr>
        <w:t xml:space="preserve">。 </w:t>
      </w:r>
      <w:r>
        <w:rPr>
          <w:rFonts w:hint="eastAsia"/>
          <w:color w:val="000000"/>
          <w:sz w:val="21"/>
          <w:szCs w:val="21"/>
        </w:rPr>
        <w:t>绝缘电阻测量对于出厂试验不是必要的。</w:t>
      </w:r>
    </w:p>
    <w:p w14:paraId="6C6E006B">
      <w:pPr>
        <w:pStyle w:val="144"/>
        <w:spacing w:after="240" w:line="322" w:lineRule="exact"/>
        <w:ind w:firstLine="420"/>
        <w:rPr>
          <w:sz w:val="21"/>
          <w:szCs w:val="21"/>
        </w:rPr>
      </w:pPr>
      <w:r>
        <w:rPr>
          <w:rFonts w:hint="eastAsia"/>
          <w:color w:val="000000"/>
          <w:sz w:val="21"/>
          <w:szCs w:val="21"/>
        </w:rPr>
        <w:t>如果使用水作为热转移媒质</w:t>
      </w:r>
      <w:r>
        <w:rPr>
          <w:rFonts w:hint="eastAsia"/>
          <w:color w:val="000000"/>
          <w:sz w:val="21"/>
          <w:szCs w:val="21"/>
          <w:lang w:eastAsia="zh-CN"/>
        </w:rPr>
        <w:t>，</w:t>
      </w:r>
      <w:r>
        <w:rPr>
          <w:rFonts w:hint="eastAsia"/>
          <w:color w:val="000000"/>
          <w:sz w:val="21"/>
          <w:szCs w:val="21"/>
        </w:rPr>
        <w:t>可在无水和有水两种情况下测量绝缘电阻。无水时的绝缘等级应满足上述规定值要求，有水时的绝缘等级应另行规定。</w:t>
      </w:r>
    </w:p>
    <w:p w14:paraId="2F7541C3">
      <w:pPr>
        <w:pStyle w:val="144"/>
        <w:spacing w:after="140" w:line="315" w:lineRule="exact"/>
        <w:ind w:left="820" w:firstLine="20"/>
        <w:rPr>
          <w:color w:val="000000"/>
          <w:sz w:val="21"/>
          <w:szCs w:val="21"/>
        </w:rPr>
      </w:pPr>
    </w:p>
    <w:p w14:paraId="24707D6D">
      <w:pPr>
        <w:pStyle w:val="45"/>
        <w:numPr>
          <w:ilvl w:val="1"/>
          <w:numId w:val="2"/>
        </w:numPr>
        <w:adjustRightInd w:val="0"/>
        <w:snapToGrid w:val="0"/>
        <w:spacing w:before="156" w:beforeLines="50" w:after="156" w:afterLines="50"/>
        <w:ind w:left="0"/>
        <w:outlineLvl w:val="2"/>
      </w:pPr>
      <w:bookmarkStart w:id="66" w:name="_Toc123130264"/>
      <w:r>
        <w:rPr>
          <w:rFonts w:hint="eastAsia"/>
        </w:rPr>
        <w:t>绝缘试验</w:t>
      </w:r>
      <w:bookmarkEnd w:id="66"/>
    </w:p>
    <w:p w14:paraId="30F55D54">
      <w:pPr>
        <w:spacing w:after="239" w:line="1" w:lineRule="exact"/>
        <w:rPr>
          <w:rFonts w:ascii="宋体" w:hAnsi="宋体" w:cs="宋体"/>
          <w:szCs w:val="21"/>
        </w:rPr>
      </w:pPr>
    </w:p>
    <w:p w14:paraId="6108A326">
      <w:pPr>
        <w:pStyle w:val="46"/>
        <w:spacing w:before="156" w:after="156"/>
        <w:ind w:left="0"/>
        <w:rPr>
          <w:lang w:val="zh-TW" w:eastAsia="zh-TW" w:bidi="zh-TW"/>
        </w:rPr>
      </w:pPr>
      <w:r>
        <w:rPr>
          <w:rFonts w:hint="eastAsia"/>
          <w:lang w:val="zh-TW" w:eastAsia="zh-TW" w:bidi="zh-TW"/>
        </w:rPr>
        <w:t>概述</w:t>
      </w:r>
    </w:p>
    <w:p w14:paraId="14B467B9">
      <w:pPr>
        <w:pStyle w:val="144"/>
        <w:spacing w:line="322" w:lineRule="exact"/>
        <w:ind w:firstLine="440"/>
        <w:rPr>
          <w:rFonts w:eastAsia="PMingLiU"/>
          <w:sz w:val="21"/>
          <w:szCs w:val="21"/>
        </w:rPr>
      </w:pPr>
      <w:r>
        <w:rPr>
          <w:rFonts w:hint="eastAsia"/>
          <w:color w:val="000000"/>
          <w:sz w:val="21"/>
          <w:szCs w:val="21"/>
          <w:lang w:eastAsia="zh-CN"/>
        </w:rPr>
        <w:t>为</w:t>
      </w:r>
      <w:r>
        <w:rPr>
          <w:color w:val="000000"/>
          <w:sz w:val="21"/>
          <w:szCs w:val="21"/>
          <w:lang w:eastAsia="zh-CN"/>
        </w:rPr>
        <w:t>验证</w:t>
      </w:r>
      <w:r>
        <w:rPr>
          <w:rFonts w:hint="eastAsia"/>
          <w:color w:val="000000"/>
          <w:sz w:val="21"/>
          <w:szCs w:val="21"/>
        </w:rPr>
        <w:t>产品的绝缘系统</w:t>
      </w:r>
      <w:r>
        <w:rPr>
          <w:rFonts w:hint="eastAsia"/>
          <w:color w:val="000000"/>
          <w:sz w:val="21"/>
          <w:szCs w:val="21"/>
          <w:lang w:eastAsia="zh-CN"/>
        </w:rPr>
        <w:t>耐受</w:t>
      </w:r>
      <w:r>
        <w:rPr>
          <w:rFonts w:hint="eastAsia"/>
          <w:color w:val="000000"/>
          <w:sz w:val="21"/>
          <w:szCs w:val="21"/>
        </w:rPr>
        <w:t>的介电强度，进行型式试验以及出厂试验。通过对关键安全部件和固体绝缘进行</w:t>
      </w:r>
      <w:r>
        <w:rPr>
          <w:rFonts w:hint="eastAsia"/>
          <w:color w:val="000000"/>
          <w:sz w:val="21"/>
          <w:szCs w:val="21"/>
          <w:lang w:eastAsia="zh-CN"/>
        </w:rPr>
        <w:t>交流</w:t>
      </w:r>
      <w:r>
        <w:rPr>
          <w:rFonts w:hint="eastAsia"/>
          <w:color w:val="000000"/>
          <w:sz w:val="21"/>
          <w:szCs w:val="21"/>
        </w:rPr>
        <w:t>耐压</w:t>
      </w:r>
      <w:r>
        <w:rPr>
          <w:rFonts w:hint="eastAsia"/>
          <w:color w:val="000000"/>
          <w:sz w:val="21"/>
          <w:szCs w:val="21"/>
          <w:lang w:eastAsia="zh-CN"/>
        </w:rPr>
        <w:t>和雷电</w:t>
      </w:r>
      <w:r>
        <w:rPr>
          <w:rFonts w:hint="eastAsia"/>
          <w:color w:val="000000"/>
          <w:sz w:val="21"/>
          <w:szCs w:val="21"/>
        </w:rPr>
        <w:t>冲击的试验验证绝缘系统。</w:t>
      </w:r>
    </w:p>
    <w:p w14:paraId="45F272EA">
      <w:pPr>
        <w:pStyle w:val="46"/>
        <w:spacing w:before="156" w:after="156"/>
        <w:ind w:left="0"/>
        <w:rPr>
          <w:lang w:val="zh-TW" w:eastAsia="zh-TW" w:bidi="zh-TW"/>
        </w:rPr>
      </w:pPr>
      <w:r>
        <w:rPr>
          <w:rFonts w:hint="eastAsia"/>
          <w:lang w:val="zh-TW" w:eastAsia="zh-TW" w:bidi="zh-TW"/>
        </w:rPr>
        <w:t>试验</w:t>
      </w:r>
      <w:r>
        <w:rPr>
          <w:rFonts w:hint="eastAsia"/>
          <w:lang w:val="zh-TW" w:eastAsia="zh-CN" w:bidi="zh-TW"/>
        </w:rPr>
        <w:t>方法</w:t>
      </w:r>
    </w:p>
    <w:p w14:paraId="0EBB558B">
      <w:pPr>
        <w:pStyle w:val="51"/>
        <w:spacing w:before="156" w:after="156"/>
        <w:rPr>
          <w:lang w:val="zh-TW" w:eastAsia="zh-TW" w:bidi="zh-TW"/>
        </w:rPr>
      </w:pPr>
      <w:r>
        <w:rPr>
          <w:rFonts w:hint="eastAsia"/>
          <w:lang w:val="zh-TW" w:eastAsia="zh-TW" w:bidi="zh-TW"/>
        </w:rPr>
        <w:t>概述</w:t>
      </w:r>
    </w:p>
    <w:p w14:paraId="35D3ABDC">
      <w:pPr>
        <w:pStyle w:val="144"/>
        <w:spacing w:line="311" w:lineRule="exact"/>
        <w:ind w:firstLine="440"/>
        <w:rPr>
          <w:sz w:val="21"/>
          <w:szCs w:val="21"/>
          <w:highlight w:val="yellow"/>
        </w:rPr>
      </w:pPr>
      <w:r>
        <w:rPr>
          <w:rFonts w:hint="eastAsia"/>
          <w:color w:val="000000"/>
          <w:sz w:val="21"/>
          <w:szCs w:val="21"/>
          <w:lang w:eastAsia="zh-CN"/>
        </w:rPr>
        <w:t>绝缘试验应</w:t>
      </w:r>
      <w:r>
        <w:rPr>
          <w:rFonts w:hint="eastAsia"/>
          <w:color w:val="000000"/>
          <w:sz w:val="21"/>
          <w:szCs w:val="21"/>
        </w:rPr>
        <w:t>在总装配后进行</w:t>
      </w:r>
      <w:r>
        <w:rPr>
          <w:rFonts w:hint="eastAsia"/>
          <w:color w:val="000000"/>
          <w:sz w:val="21"/>
          <w:szCs w:val="21"/>
          <w:lang w:eastAsia="zh-CN"/>
        </w:rPr>
        <w:t>，</w:t>
      </w:r>
      <w:r>
        <w:rPr>
          <w:rFonts w:hint="eastAsia"/>
          <w:color w:val="000000"/>
          <w:sz w:val="21"/>
          <w:szCs w:val="21"/>
        </w:rPr>
        <w:t>以保证制造过程没有影响绝缘配合。</w:t>
      </w:r>
    </w:p>
    <w:p w14:paraId="76DB9B6B">
      <w:pPr>
        <w:pStyle w:val="144"/>
        <w:spacing w:line="311" w:lineRule="exact"/>
        <w:ind w:firstLine="440"/>
        <w:rPr>
          <w:sz w:val="21"/>
          <w:szCs w:val="21"/>
          <w:lang w:eastAsia="zh-CN"/>
        </w:rPr>
      </w:pPr>
      <w:r>
        <w:rPr>
          <w:rFonts w:hint="eastAsia"/>
          <w:color w:val="000000"/>
          <w:sz w:val="21"/>
          <w:szCs w:val="21"/>
        </w:rPr>
        <w:t>表</w:t>
      </w:r>
      <w:r>
        <w:rPr>
          <w:rFonts w:hint="eastAsia"/>
          <w:color w:val="000000"/>
          <w:sz w:val="21"/>
          <w:szCs w:val="21"/>
          <w:lang w:val="en-US" w:eastAsia="zh-CN"/>
        </w:rPr>
        <w:t>5</w:t>
      </w:r>
      <w:r>
        <w:rPr>
          <w:rFonts w:hint="eastAsia"/>
          <w:color w:val="000000"/>
          <w:sz w:val="21"/>
          <w:szCs w:val="21"/>
        </w:rPr>
        <w:t>的试验电压只是对于绝缘的型式试验。对于出厂试验，</w:t>
      </w:r>
      <w:r>
        <w:rPr>
          <w:rFonts w:hint="eastAsia"/>
          <w:color w:val="000000"/>
          <w:sz w:val="21"/>
          <w:szCs w:val="21"/>
          <w:lang w:val="en-US" w:eastAsia="zh-CN"/>
        </w:rPr>
        <w:t>施加80%</w:t>
      </w:r>
      <w:r>
        <w:rPr>
          <w:rFonts w:hint="eastAsia"/>
          <w:color w:val="000000"/>
          <w:sz w:val="21"/>
          <w:szCs w:val="21"/>
        </w:rPr>
        <w:t>表</w:t>
      </w:r>
      <w:r>
        <w:rPr>
          <w:rFonts w:hint="eastAsia"/>
          <w:color w:val="000000"/>
          <w:sz w:val="21"/>
          <w:szCs w:val="21"/>
          <w:lang w:val="en-US" w:eastAsia="zh-CN"/>
        </w:rPr>
        <w:t>5</w:t>
      </w:r>
      <w:r>
        <w:rPr>
          <w:rFonts w:hint="eastAsia"/>
          <w:color w:val="000000"/>
          <w:sz w:val="21"/>
          <w:szCs w:val="21"/>
        </w:rPr>
        <w:t>的</w:t>
      </w:r>
      <w:r>
        <w:rPr>
          <w:rFonts w:hint="eastAsia"/>
          <w:color w:val="000000"/>
          <w:sz w:val="21"/>
          <w:szCs w:val="21"/>
          <w:lang w:eastAsia="zh-CN"/>
        </w:rPr>
        <w:t>工频耐受</w:t>
      </w:r>
      <w:r>
        <w:rPr>
          <w:rFonts w:hint="eastAsia"/>
          <w:color w:val="000000"/>
          <w:sz w:val="21"/>
          <w:szCs w:val="21"/>
        </w:rPr>
        <w:t>试验电压</w:t>
      </w:r>
      <w:r>
        <w:rPr>
          <w:rFonts w:hint="eastAsia"/>
          <w:color w:val="000000"/>
          <w:sz w:val="21"/>
          <w:szCs w:val="21"/>
          <w:lang w:eastAsia="zh-CN"/>
        </w:rPr>
        <w:t>，无需雷电冲击试验。</w:t>
      </w:r>
    </w:p>
    <w:p w14:paraId="3D46D85B">
      <w:pPr>
        <w:pStyle w:val="51"/>
        <w:spacing w:before="156" w:after="156"/>
        <w:rPr>
          <w:lang w:val="zh-TW" w:eastAsia="zh-TW" w:bidi="zh-TW"/>
        </w:rPr>
      </w:pPr>
      <w:r>
        <w:rPr>
          <w:rFonts w:hint="eastAsia"/>
          <w:lang w:val="zh-TW" w:eastAsia="zh-TW" w:bidi="zh-TW"/>
        </w:rPr>
        <w:t>试验前的准备</w:t>
      </w:r>
    </w:p>
    <w:p w14:paraId="3E426876">
      <w:pPr>
        <w:pStyle w:val="144"/>
        <w:spacing w:line="324" w:lineRule="exact"/>
        <w:ind w:firstLine="420"/>
        <w:jc w:val="left"/>
        <w:rPr>
          <w:sz w:val="21"/>
          <w:szCs w:val="21"/>
        </w:rPr>
      </w:pPr>
      <w:r>
        <w:rPr>
          <w:rFonts w:hint="eastAsia"/>
          <w:color w:val="000000"/>
          <w:sz w:val="21"/>
          <w:szCs w:val="21"/>
        </w:rPr>
        <w:t>试验前应进行如下准备：</w:t>
      </w:r>
    </w:p>
    <w:p w14:paraId="04D4AE6A">
      <w:pPr>
        <w:pStyle w:val="144"/>
        <w:tabs>
          <w:tab w:val="left" w:pos="835"/>
        </w:tabs>
        <w:spacing w:line="324" w:lineRule="exact"/>
        <w:ind w:left="820" w:hanging="400"/>
        <w:rPr>
          <w:sz w:val="21"/>
          <w:szCs w:val="21"/>
        </w:rPr>
      </w:pPr>
      <w:bookmarkStart w:id="67" w:name="bookmark309"/>
      <w:r>
        <w:rPr>
          <w:rFonts w:hint="eastAsia"/>
          <w:color w:val="000000"/>
          <w:sz w:val="21"/>
          <w:szCs w:val="21"/>
          <w:lang w:val="en-US" w:eastAsia="zh-CN" w:bidi="en-US"/>
        </w:rPr>
        <w:t>a</w:t>
      </w:r>
      <w:bookmarkEnd w:id="67"/>
      <w:r>
        <w:rPr>
          <w:rFonts w:hint="eastAsia"/>
          <w:color w:val="000000"/>
          <w:sz w:val="21"/>
          <w:szCs w:val="21"/>
          <w:lang w:val="en-US" w:eastAsia="zh-CN" w:bidi="en-US"/>
        </w:rPr>
        <w:t>）</w:t>
      </w:r>
      <w:r>
        <w:rPr>
          <w:rFonts w:hint="eastAsia"/>
          <w:color w:val="000000"/>
          <w:sz w:val="21"/>
          <w:szCs w:val="21"/>
          <w:lang w:val="en-US" w:eastAsia="zh-CN" w:bidi="en-US"/>
        </w:rPr>
        <w:tab/>
      </w:r>
      <w:r>
        <w:rPr>
          <w:rFonts w:hint="eastAsia"/>
          <w:color w:val="000000"/>
          <w:sz w:val="21"/>
          <w:szCs w:val="21"/>
        </w:rPr>
        <w:t>如果必要，应短接端子、开关的常开触点和半导体阀器件等</w:t>
      </w:r>
      <w:r>
        <w:rPr>
          <w:rFonts w:hint="eastAsia"/>
          <w:color w:val="000000"/>
          <w:sz w:val="21"/>
          <w:szCs w:val="21"/>
          <w:lang w:eastAsia="zh-CN"/>
        </w:rPr>
        <w:t>，</w:t>
      </w:r>
      <w:r>
        <w:rPr>
          <w:rFonts w:hint="eastAsia"/>
          <w:color w:val="000000"/>
          <w:sz w:val="21"/>
          <w:szCs w:val="21"/>
        </w:rPr>
        <w:t>以便构成闭合回路。试验前，可将电路中的半导体器件及其他易损坏部件断开和（或）端子短接，以避免在试验期间损坏；</w:t>
      </w:r>
      <w:r>
        <w:rPr>
          <w:rFonts w:hint="eastAsia"/>
          <w:color w:val="000000"/>
          <w:sz w:val="21"/>
          <w:szCs w:val="21"/>
          <w:lang w:val="en-US" w:eastAsia="zh-CN" w:bidi="en-US"/>
        </w:rPr>
        <w:tab/>
      </w:r>
    </w:p>
    <w:p w14:paraId="389A9752">
      <w:pPr>
        <w:pStyle w:val="144"/>
        <w:tabs>
          <w:tab w:val="left" w:pos="835"/>
        </w:tabs>
        <w:spacing w:line="324" w:lineRule="exact"/>
        <w:ind w:left="820" w:hanging="400"/>
        <w:rPr>
          <w:sz w:val="21"/>
          <w:szCs w:val="21"/>
        </w:rPr>
      </w:pPr>
      <w:r>
        <w:rPr>
          <w:rFonts w:hint="eastAsia"/>
          <w:color w:val="000000"/>
          <w:sz w:val="21"/>
          <w:szCs w:val="21"/>
          <w:lang w:val="en-US" w:eastAsia="zh-CN" w:bidi="en-US"/>
        </w:rPr>
        <w:t>b）</w:t>
      </w:r>
      <w:r>
        <w:rPr>
          <w:rFonts w:hint="eastAsia"/>
          <w:color w:val="000000"/>
          <w:sz w:val="21"/>
          <w:szCs w:val="21"/>
          <w:lang w:val="en-US" w:eastAsia="zh-CN" w:bidi="en-US"/>
        </w:rPr>
        <w:tab/>
      </w:r>
      <w:r>
        <w:rPr>
          <w:rFonts w:hint="eastAsia"/>
          <w:color w:val="000000"/>
          <w:sz w:val="21"/>
          <w:szCs w:val="21"/>
        </w:rPr>
        <w:t>在交流或</w:t>
      </w:r>
      <w:r>
        <w:rPr>
          <w:rFonts w:hint="eastAsia"/>
          <w:color w:val="000000"/>
          <w:sz w:val="21"/>
          <w:szCs w:val="21"/>
          <w:lang w:eastAsia="zh-CN"/>
        </w:rPr>
        <w:t>雷电</w:t>
      </w:r>
      <w:r>
        <w:rPr>
          <w:rFonts w:hint="eastAsia"/>
          <w:color w:val="000000"/>
          <w:sz w:val="21"/>
          <w:szCs w:val="21"/>
        </w:rPr>
        <w:t>电压试验时</w:t>
      </w:r>
      <w:r>
        <w:rPr>
          <w:rFonts w:hint="eastAsia"/>
          <w:color w:val="000000"/>
          <w:sz w:val="21"/>
          <w:szCs w:val="21"/>
          <w:lang w:eastAsia="zh-CN"/>
        </w:rPr>
        <w:t>，</w:t>
      </w:r>
      <w:r>
        <w:rPr>
          <w:rFonts w:hint="eastAsia"/>
          <w:color w:val="000000"/>
          <w:sz w:val="21"/>
          <w:szCs w:val="21"/>
          <w:lang w:val="en-US" w:eastAsia="zh-CN"/>
        </w:rPr>
        <w:t>实际</w:t>
      </w:r>
      <w:r>
        <w:rPr>
          <w:rFonts w:hint="eastAsia"/>
          <w:color w:val="000000"/>
          <w:sz w:val="21"/>
          <w:szCs w:val="21"/>
        </w:rPr>
        <w:t>使用</w:t>
      </w:r>
      <w:r>
        <w:rPr>
          <w:rFonts w:hint="eastAsia"/>
          <w:color w:val="000000"/>
          <w:sz w:val="21"/>
          <w:szCs w:val="21"/>
          <w:lang w:val="en-US" w:eastAsia="zh-CN"/>
        </w:rPr>
        <w:t>不可能承受如此高电压（如用避雷器保护、印制电路板等）</w:t>
      </w:r>
      <w:r>
        <w:rPr>
          <w:rFonts w:hint="eastAsia"/>
          <w:color w:val="000000"/>
          <w:sz w:val="21"/>
          <w:szCs w:val="21"/>
        </w:rPr>
        <w:t>的模块可抽出或断开</w:t>
      </w:r>
      <w:r>
        <w:rPr>
          <w:rFonts w:hint="eastAsia"/>
          <w:color w:val="000000"/>
          <w:sz w:val="21"/>
          <w:szCs w:val="21"/>
          <w:lang w:eastAsia="zh-CN"/>
        </w:rPr>
        <w:t>，</w:t>
      </w:r>
      <w:r>
        <w:rPr>
          <w:rFonts w:hint="eastAsia"/>
          <w:color w:val="000000"/>
          <w:sz w:val="21"/>
          <w:szCs w:val="21"/>
        </w:rPr>
        <w:t>或使用标准试验样件代替，避免绝缘击穿。诸如辅助变压器、测量设备、脉冲变压器和仪表传感器等的绝缘应力应与主电路相等；</w:t>
      </w:r>
    </w:p>
    <w:p w14:paraId="495E2B53">
      <w:pPr>
        <w:pStyle w:val="144"/>
        <w:tabs>
          <w:tab w:val="left" w:pos="835"/>
        </w:tabs>
        <w:spacing w:after="140" w:line="324" w:lineRule="exact"/>
        <w:ind w:left="820" w:hanging="400"/>
        <w:rPr>
          <w:sz w:val="21"/>
          <w:szCs w:val="21"/>
        </w:rPr>
      </w:pPr>
      <w:r>
        <w:rPr>
          <w:rFonts w:hint="eastAsia"/>
          <w:color w:val="000000"/>
          <w:sz w:val="21"/>
          <w:szCs w:val="21"/>
          <w:lang w:val="en-US" w:eastAsia="zh-CN" w:bidi="en-US"/>
        </w:rPr>
        <w:t>c）</w:t>
      </w:r>
      <w:r>
        <w:rPr>
          <w:rFonts w:hint="eastAsia"/>
          <w:color w:val="000000"/>
          <w:sz w:val="21"/>
          <w:szCs w:val="21"/>
          <w:lang w:val="en-US" w:eastAsia="zh-CN" w:bidi="en-US"/>
        </w:rPr>
        <w:tab/>
      </w:r>
      <w:r>
        <w:rPr>
          <w:rFonts w:hint="eastAsia"/>
          <w:color w:val="000000"/>
          <w:sz w:val="21"/>
          <w:szCs w:val="21"/>
        </w:rPr>
        <w:t>主电路的开关装置和控制装置应闭合或旁路。与主电路不存在导电连接的辅助装置（例如：系统控制设备、风机的电动机）</w:t>
      </w:r>
      <w:r>
        <w:rPr>
          <w:rFonts w:hint="eastAsia"/>
          <w:color w:val="000000"/>
          <w:sz w:val="21"/>
          <w:szCs w:val="21"/>
          <w:lang w:eastAsia="zh-CN"/>
        </w:rPr>
        <w:t>，</w:t>
      </w:r>
      <w:r>
        <w:rPr>
          <w:rFonts w:hint="eastAsia"/>
          <w:color w:val="000000"/>
          <w:sz w:val="21"/>
          <w:szCs w:val="21"/>
        </w:rPr>
        <w:t>在交流电压试验时应与外壳连接。试验时，外壳以绝缘材料构成的单元应使用金属箔覆盖</w:t>
      </w:r>
      <w:r>
        <w:rPr>
          <w:rFonts w:hint="eastAsia"/>
          <w:color w:val="000000"/>
          <w:sz w:val="21"/>
          <w:szCs w:val="21"/>
          <w:lang w:eastAsia="zh-CN"/>
        </w:rPr>
        <w:t>，</w:t>
      </w:r>
      <w:r>
        <w:rPr>
          <w:rFonts w:hint="eastAsia"/>
          <w:color w:val="000000"/>
          <w:sz w:val="21"/>
          <w:szCs w:val="21"/>
        </w:rPr>
        <w:t>金属箔视为外壳。</w:t>
      </w:r>
    </w:p>
    <w:p w14:paraId="598A5664">
      <w:pPr>
        <w:pStyle w:val="51"/>
        <w:spacing w:before="156" w:after="156"/>
        <w:rPr>
          <w:lang w:val="zh-TW" w:eastAsia="zh-TW" w:bidi="zh-TW"/>
        </w:rPr>
      </w:pPr>
      <w:r>
        <w:rPr>
          <w:rFonts w:hint="eastAsia"/>
          <w:lang w:val="zh-TW" w:eastAsia="zh-TW" w:bidi="zh-TW"/>
        </w:rPr>
        <w:t>试验电压</w:t>
      </w:r>
    </w:p>
    <w:p w14:paraId="239F7524">
      <w:pPr>
        <w:pStyle w:val="144"/>
        <w:spacing w:line="360" w:lineRule="auto"/>
        <w:ind w:firstLine="420"/>
        <w:jc w:val="left"/>
        <w:rPr>
          <w:sz w:val="21"/>
          <w:szCs w:val="21"/>
          <w:lang w:val="en-US" w:eastAsia="zh-CN"/>
        </w:rPr>
      </w:pPr>
      <w:r>
        <w:rPr>
          <w:rFonts w:hint="eastAsia"/>
          <w:color w:val="000000"/>
          <w:sz w:val="21"/>
          <w:szCs w:val="21"/>
        </w:rPr>
        <w:t>根据设备连接电源的不同情况，规定试验电压</w:t>
      </w:r>
      <w:r>
        <w:rPr>
          <w:rFonts w:hint="eastAsia"/>
          <w:color w:val="000000"/>
          <w:sz w:val="21"/>
          <w:szCs w:val="21"/>
          <w:lang w:eastAsia="zh-CN"/>
        </w:rPr>
        <w:t>见表</w:t>
      </w:r>
      <w:r>
        <w:rPr>
          <w:rFonts w:hint="eastAsia"/>
          <w:color w:val="000000"/>
          <w:sz w:val="21"/>
          <w:szCs w:val="21"/>
          <w:lang w:val="en-US" w:eastAsia="zh-CN"/>
        </w:rPr>
        <w:t>5</w:t>
      </w:r>
    </w:p>
    <w:p w14:paraId="7D531865">
      <w:pPr>
        <w:pStyle w:val="51"/>
        <w:spacing w:before="156" w:after="156"/>
        <w:rPr>
          <w:lang w:val="zh-TW" w:eastAsia="zh-TW" w:bidi="zh-TW"/>
        </w:rPr>
      </w:pPr>
      <w:r>
        <w:rPr>
          <w:rFonts w:hint="eastAsia"/>
          <w:lang w:val="zh-TW" w:eastAsia="zh-TW" w:bidi="zh-TW"/>
        </w:rPr>
        <w:t>试验电压的施加</w:t>
      </w:r>
    </w:p>
    <w:p w14:paraId="36B6FAA7">
      <w:pPr>
        <w:pStyle w:val="144"/>
        <w:spacing w:line="317" w:lineRule="exact"/>
        <w:jc w:val="left"/>
        <w:rPr>
          <w:sz w:val="21"/>
          <w:szCs w:val="21"/>
        </w:rPr>
      </w:pPr>
      <w:r>
        <w:rPr>
          <w:rFonts w:hint="eastAsia"/>
          <w:color w:val="000000"/>
          <w:sz w:val="21"/>
          <w:szCs w:val="21"/>
        </w:rPr>
        <w:t>试验时，应按如下方法施加试验电压：</w:t>
      </w:r>
    </w:p>
    <w:p w14:paraId="08A5A8E0">
      <w:pPr>
        <w:pStyle w:val="144"/>
        <w:spacing w:line="317" w:lineRule="exact"/>
        <w:jc w:val="left"/>
        <w:rPr>
          <w:sz w:val="21"/>
          <w:szCs w:val="21"/>
        </w:rPr>
      </w:pPr>
      <w:r>
        <w:rPr>
          <w:rFonts w:hint="eastAsia"/>
          <w:color w:val="000000"/>
          <w:sz w:val="21"/>
          <w:szCs w:val="21"/>
        </w:rPr>
        <w:t>——依次在易触及导电部件（已接地）与各电路之间；</w:t>
      </w:r>
    </w:p>
    <w:p w14:paraId="5AC09EBB">
      <w:pPr>
        <w:pStyle w:val="144"/>
        <w:spacing w:line="317" w:lineRule="exact"/>
        <w:ind w:left="800" w:hanging="400"/>
        <w:rPr>
          <w:color w:val="000000"/>
          <w:sz w:val="21"/>
          <w:szCs w:val="21"/>
        </w:rPr>
      </w:pPr>
      <w:r>
        <w:rPr>
          <w:rFonts w:hint="eastAsia"/>
          <w:color w:val="000000"/>
          <w:sz w:val="21"/>
          <w:szCs w:val="21"/>
        </w:rPr>
        <w:t>——依次在易触及表面（不导电或导电但未接地的）与各电路之间；</w:t>
      </w:r>
    </w:p>
    <w:p w14:paraId="7C292877">
      <w:pPr>
        <w:pStyle w:val="144"/>
        <w:spacing w:line="317" w:lineRule="exact"/>
        <w:ind w:left="800" w:hanging="400"/>
        <w:rPr>
          <w:color w:val="000000"/>
          <w:sz w:val="21"/>
          <w:szCs w:val="21"/>
          <w:lang w:val="en-US" w:eastAsia="zh-CN"/>
        </w:rPr>
      </w:pPr>
      <w:r>
        <w:rPr>
          <w:rFonts w:hint="eastAsia"/>
          <w:color w:val="000000"/>
          <w:sz w:val="21"/>
          <w:szCs w:val="21"/>
          <w:lang w:val="en-US" w:eastAsia="zh-CN"/>
        </w:rPr>
        <w:t>----各相之间</w:t>
      </w:r>
    </w:p>
    <w:p w14:paraId="0142C2B3">
      <w:pPr>
        <w:pStyle w:val="51"/>
        <w:spacing w:before="156" w:after="156"/>
        <w:rPr>
          <w:lang w:val="zh-TW" w:eastAsia="zh-TW" w:bidi="zh-TW"/>
        </w:rPr>
      </w:pPr>
      <w:r>
        <w:rPr>
          <w:rFonts w:hint="eastAsia"/>
          <w:lang w:val="zh-TW" w:eastAsia="zh-TW" w:bidi="zh-TW"/>
        </w:rPr>
        <w:t>施加交流电压的持续时间及合格判据</w:t>
      </w:r>
    </w:p>
    <w:p w14:paraId="0CE8248E">
      <w:pPr>
        <w:pStyle w:val="144"/>
        <w:spacing w:line="341" w:lineRule="exact"/>
        <w:ind w:firstLine="420"/>
        <w:rPr>
          <w:sz w:val="21"/>
          <w:szCs w:val="21"/>
        </w:rPr>
      </w:pPr>
      <w:r>
        <w:rPr>
          <w:rFonts w:hint="eastAsia"/>
          <w:color w:val="000000"/>
          <w:sz w:val="21"/>
          <w:szCs w:val="21"/>
          <w:lang w:eastAsia="zh-CN"/>
        </w:rPr>
        <w:t>交流耐压</w:t>
      </w:r>
      <w:r>
        <w:rPr>
          <w:rFonts w:hint="eastAsia"/>
          <w:color w:val="000000"/>
          <w:sz w:val="21"/>
          <w:szCs w:val="21"/>
        </w:rPr>
        <w:t xml:space="preserve">试验应釆用50 </w:t>
      </w:r>
      <w:r>
        <w:rPr>
          <w:rFonts w:hint="eastAsia"/>
          <w:color w:val="000000"/>
          <w:sz w:val="21"/>
          <w:szCs w:val="21"/>
          <w:lang w:val="en-US" w:eastAsia="zh-CN" w:bidi="en-US"/>
        </w:rPr>
        <w:t>Hz</w:t>
      </w:r>
      <w:r>
        <w:rPr>
          <w:rFonts w:hint="eastAsia"/>
          <w:color w:val="000000"/>
          <w:sz w:val="21"/>
          <w:szCs w:val="21"/>
        </w:rPr>
        <w:t xml:space="preserve">或60 </w:t>
      </w:r>
      <w:r>
        <w:rPr>
          <w:rFonts w:hint="eastAsia"/>
          <w:color w:val="000000"/>
          <w:sz w:val="21"/>
          <w:szCs w:val="21"/>
          <w:lang w:val="en-US" w:eastAsia="zh-CN" w:bidi="en-US"/>
        </w:rPr>
        <w:t>Hz</w:t>
      </w:r>
      <w:r>
        <w:rPr>
          <w:rFonts w:hint="eastAsia"/>
          <w:color w:val="000000"/>
          <w:sz w:val="21"/>
          <w:szCs w:val="21"/>
        </w:rPr>
        <w:t>正弦波电压。如果受试电路中包含有电容器，试验可采用等于规 定的交流电压峰值的直流电压。</w:t>
      </w:r>
    </w:p>
    <w:p w14:paraId="680C78A8">
      <w:pPr>
        <w:pStyle w:val="144"/>
        <w:spacing w:line="326" w:lineRule="exact"/>
        <w:ind w:firstLine="420"/>
        <w:rPr>
          <w:sz w:val="21"/>
          <w:szCs w:val="21"/>
        </w:rPr>
      </w:pPr>
      <w:r>
        <w:rPr>
          <w:rFonts w:hint="eastAsia"/>
          <w:color w:val="000000"/>
          <w:sz w:val="21"/>
          <w:szCs w:val="21"/>
        </w:rPr>
        <w:t>试验持续时间对于型式试验为1</w:t>
      </w:r>
      <w:r>
        <w:rPr>
          <w:rFonts w:hint="eastAsia"/>
          <w:color w:val="000000"/>
          <w:sz w:val="21"/>
          <w:szCs w:val="21"/>
          <w:lang w:val="en-US" w:eastAsia="zh-CN"/>
        </w:rPr>
        <w:t>min</w:t>
      </w:r>
      <w:r>
        <w:rPr>
          <w:rFonts w:hint="eastAsia"/>
          <w:color w:val="000000"/>
          <w:sz w:val="21"/>
          <w:szCs w:val="21"/>
          <w:lang w:val="en-US" w:eastAsia="zh-CN" w:bidi="en-US"/>
        </w:rPr>
        <w:t>。</w:t>
      </w:r>
    </w:p>
    <w:p w14:paraId="19C64D5B">
      <w:pPr>
        <w:pStyle w:val="144"/>
        <w:spacing w:after="240" w:line="326" w:lineRule="exact"/>
        <w:ind w:left="400" w:firstLine="20"/>
        <w:rPr>
          <w:color w:val="000000"/>
          <w:sz w:val="21"/>
          <w:szCs w:val="21"/>
        </w:rPr>
      </w:pPr>
      <w:r>
        <w:rPr>
          <w:rFonts w:hint="eastAsia"/>
          <w:color w:val="000000"/>
          <w:sz w:val="21"/>
          <w:szCs w:val="21"/>
        </w:rPr>
        <w:t>根据</w:t>
      </w:r>
      <w:r>
        <w:rPr>
          <w:rFonts w:hint="eastAsia"/>
          <w:color w:val="000000"/>
          <w:sz w:val="21"/>
          <w:szCs w:val="21"/>
          <w:lang w:val="en-US" w:eastAsia="zh-CN" w:bidi="en-US"/>
        </w:rPr>
        <w:t>GB</w:t>
      </w:r>
      <w:r>
        <w:rPr>
          <w:color w:val="000000"/>
          <w:sz w:val="21"/>
          <w:szCs w:val="21"/>
          <w:lang w:val="en-US" w:eastAsia="zh-CN" w:bidi="en-US"/>
        </w:rPr>
        <w:t>/</w:t>
      </w:r>
      <w:r>
        <w:rPr>
          <w:rFonts w:hint="eastAsia"/>
          <w:color w:val="000000"/>
          <w:sz w:val="21"/>
          <w:szCs w:val="21"/>
          <w:lang w:val="en-US" w:eastAsia="zh-CN" w:bidi="en-US"/>
        </w:rPr>
        <w:t>T 17627.</w:t>
      </w:r>
      <w:r>
        <w:rPr>
          <w:rFonts w:hint="eastAsia"/>
          <w:color w:val="000000"/>
          <w:sz w:val="21"/>
          <w:szCs w:val="21"/>
        </w:rPr>
        <w:t>1</w:t>
      </w:r>
      <w:r>
        <w:rPr>
          <w:rFonts w:hint="eastAsia"/>
          <w:color w:val="000000"/>
          <w:sz w:val="21"/>
          <w:szCs w:val="21"/>
          <w:lang w:val="en-US" w:eastAsia="zh-CN" w:bidi="en-US"/>
        </w:rPr>
        <w:t>-1998</w:t>
      </w:r>
      <w:r>
        <w:rPr>
          <w:rFonts w:hint="eastAsia"/>
          <w:color w:val="000000"/>
          <w:sz w:val="21"/>
          <w:szCs w:val="21"/>
        </w:rPr>
        <w:t>的规定，试验使用的电压源的短路电流应至少为</w:t>
      </w:r>
      <w:r>
        <w:rPr>
          <w:rFonts w:hint="eastAsia"/>
          <w:color w:val="000000"/>
          <w:sz w:val="21"/>
          <w:szCs w:val="21"/>
          <w:lang w:val="en-US" w:eastAsia="zh-CN" w:bidi="en-US"/>
        </w:rPr>
        <w:t>0.1</w:t>
      </w:r>
      <w:r>
        <w:rPr>
          <w:rFonts w:eastAsia="PMingLiU"/>
          <w:color w:val="000000"/>
          <w:sz w:val="21"/>
          <w:szCs w:val="21"/>
        </w:rPr>
        <w:t xml:space="preserve"> </w:t>
      </w:r>
      <w:r>
        <w:rPr>
          <w:rFonts w:hint="eastAsia"/>
          <w:color w:val="000000"/>
          <w:sz w:val="21"/>
          <w:szCs w:val="21"/>
          <w:lang w:val="en-US" w:eastAsia="zh-CN" w:bidi="en-US"/>
        </w:rPr>
        <w:t xml:space="preserve">A。 </w:t>
      </w:r>
      <w:r>
        <w:rPr>
          <w:rFonts w:hint="eastAsia"/>
          <w:color w:val="000000"/>
          <w:sz w:val="21"/>
          <w:szCs w:val="21"/>
        </w:rPr>
        <w:t>如果在试验期间没有发生电击穿或闪络</w:t>
      </w:r>
      <w:r>
        <w:rPr>
          <w:rFonts w:hint="eastAsia"/>
          <w:color w:val="000000"/>
          <w:sz w:val="21"/>
          <w:szCs w:val="21"/>
          <w:lang w:eastAsia="zh-CN"/>
        </w:rPr>
        <w:t>，</w:t>
      </w:r>
      <w:r>
        <w:rPr>
          <w:rFonts w:hint="eastAsia"/>
          <w:color w:val="000000"/>
          <w:sz w:val="21"/>
          <w:szCs w:val="21"/>
        </w:rPr>
        <w:t>试验通过。</w:t>
      </w:r>
      <w:bookmarkStart w:id="68" w:name="bookmark315"/>
      <w:bookmarkEnd w:id="68"/>
      <w:bookmarkStart w:id="69" w:name="bookmark316"/>
      <w:bookmarkEnd w:id="69"/>
    </w:p>
    <w:p w14:paraId="19668F1D">
      <w:pPr>
        <w:pStyle w:val="46"/>
        <w:spacing w:before="156" w:after="156"/>
        <w:ind w:left="0"/>
      </w:pPr>
      <w:r>
        <w:rPr>
          <w:rFonts w:hint="eastAsia"/>
          <w:lang w:val="zh-TW" w:eastAsia="zh-TW" w:bidi="zh-TW"/>
        </w:rPr>
        <w:t>其他</w:t>
      </w:r>
    </w:p>
    <w:p w14:paraId="78C6E603">
      <w:pPr>
        <w:pStyle w:val="144"/>
        <w:spacing w:line="240" w:lineRule="auto"/>
        <w:ind w:firstLine="420" w:firstLineChars="200"/>
        <w:rPr>
          <w:color w:val="000000"/>
          <w:sz w:val="21"/>
          <w:szCs w:val="21"/>
          <w:lang w:val="en-US" w:eastAsia="zh-CN"/>
        </w:rPr>
      </w:pPr>
      <w:r>
        <w:rPr>
          <w:rFonts w:hint="eastAsia"/>
          <w:color w:val="000000"/>
          <w:sz w:val="21"/>
          <w:szCs w:val="21"/>
          <w:lang w:val="en-US" w:eastAsia="zh-CN"/>
        </w:rPr>
        <w:t>本部分规定的以外的其他绝缘试验仅在订货前商定时才进行。</w:t>
      </w:r>
    </w:p>
    <w:p w14:paraId="22CFCA00">
      <w:pPr>
        <w:pStyle w:val="144"/>
        <w:spacing w:line="240" w:lineRule="auto"/>
        <w:ind w:firstLine="420" w:firstLineChars="200"/>
        <w:rPr>
          <w:color w:val="000000"/>
          <w:sz w:val="21"/>
          <w:szCs w:val="21"/>
          <w:lang w:val="en-US" w:eastAsia="zh-CN"/>
        </w:rPr>
      </w:pPr>
      <w:r>
        <w:rPr>
          <w:rFonts w:hint="eastAsia"/>
          <w:color w:val="000000"/>
          <w:sz w:val="21"/>
          <w:szCs w:val="21"/>
          <w:lang w:val="en-US" w:eastAsia="zh-CN"/>
        </w:rPr>
        <w:t>对于3.6kV-40.5kV的开关，如果另有规定，除交流耐压试验外，需参照GB311.1中第7章所述，进行冲击电压试验。</w:t>
      </w:r>
    </w:p>
    <w:p w14:paraId="76D6EC18">
      <w:pPr>
        <w:pStyle w:val="45"/>
        <w:numPr>
          <w:ilvl w:val="1"/>
          <w:numId w:val="2"/>
        </w:numPr>
        <w:adjustRightInd w:val="0"/>
        <w:snapToGrid w:val="0"/>
        <w:spacing w:before="156" w:beforeLines="50" w:after="156" w:afterLines="50"/>
        <w:ind w:left="0"/>
        <w:outlineLvl w:val="2"/>
      </w:pPr>
      <w:bookmarkStart w:id="70" w:name="_Toc123130265"/>
      <w:r>
        <w:rPr>
          <w:rFonts w:hint="eastAsia"/>
        </w:rPr>
        <w:t>额定电流试验</w:t>
      </w:r>
      <w:bookmarkEnd w:id="70"/>
    </w:p>
    <w:p w14:paraId="045EA6C1">
      <w:pPr>
        <w:pStyle w:val="144"/>
        <w:spacing w:line="302" w:lineRule="exact"/>
        <w:ind w:firstLine="400"/>
        <w:jc w:val="left"/>
        <w:rPr>
          <w:sz w:val="21"/>
          <w:szCs w:val="21"/>
        </w:rPr>
      </w:pPr>
      <w:r>
        <w:rPr>
          <w:rFonts w:hint="eastAsia"/>
          <w:color w:val="000000"/>
          <w:sz w:val="21"/>
          <w:szCs w:val="21"/>
        </w:rPr>
        <w:t>试验的目的是</w:t>
      </w:r>
      <w:r>
        <w:rPr>
          <w:rFonts w:hint="eastAsia"/>
          <w:color w:val="000000"/>
          <w:sz w:val="21"/>
          <w:szCs w:val="21"/>
          <w:lang w:eastAsia="zh-CN"/>
        </w:rPr>
        <w:t>验证</w:t>
      </w:r>
      <w:r>
        <w:rPr>
          <w:rFonts w:hint="eastAsia"/>
          <w:color w:val="000000"/>
          <w:sz w:val="21"/>
          <w:szCs w:val="21"/>
        </w:rPr>
        <w:t>受试设备在额定电流下运行良好：</w:t>
      </w:r>
    </w:p>
    <w:p w14:paraId="7DB9344E">
      <w:pPr>
        <w:pStyle w:val="144"/>
        <w:spacing w:line="302" w:lineRule="exact"/>
        <w:ind w:firstLine="440"/>
        <w:jc w:val="left"/>
        <w:rPr>
          <w:sz w:val="21"/>
          <w:szCs w:val="21"/>
        </w:rPr>
      </w:pPr>
      <w:r>
        <w:rPr>
          <w:rFonts w:hint="eastAsia"/>
          <w:color w:val="000000"/>
          <w:sz w:val="21"/>
          <w:szCs w:val="21"/>
        </w:rPr>
        <w:t>将</w:t>
      </w:r>
      <w:r>
        <w:rPr>
          <w:rFonts w:hint="eastAsia"/>
          <w:color w:val="000000"/>
          <w:sz w:val="21"/>
          <w:szCs w:val="21"/>
          <w:lang w:eastAsia="zh-CN"/>
        </w:rPr>
        <w:t>输出端经电阻或电抗短</w:t>
      </w:r>
      <w:r>
        <w:rPr>
          <w:rFonts w:hint="eastAsia"/>
          <w:color w:val="000000"/>
          <w:sz w:val="21"/>
          <w:szCs w:val="21"/>
        </w:rPr>
        <w:t>路</w:t>
      </w:r>
      <w:r>
        <w:rPr>
          <w:rFonts w:hint="eastAsia"/>
          <w:color w:val="000000"/>
          <w:sz w:val="21"/>
          <w:szCs w:val="21"/>
          <w:lang w:val="en-US" w:eastAsia="zh-CN" w:bidi="en-US"/>
        </w:rPr>
        <w:t>，</w:t>
      </w:r>
      <w:r>
        <w:rPr>
          <w:rFonts w:hint="eastAsia"/>
          <w:color w:val="000000"/>
          <w:sz w:val="21"/>
          <w:szCs w:val="21"/>
        </w:rPr>
        <w:t>将</w:t>
      </w:r>
      <w:r>
        <w:rPr>
          <w:rFonts w:hint="eastAsia"/>
          <w:color w:val="000000"/>
          <w:sz w:val="21"/>
          <w:szCs w:val="21"/>
          <w:lang w:eastAsia="zh-CN"/>
        </w:rPr>
        <w:t>输入端</w:t>
      </w:r>
      <w:r>
        <w:rPr>
          <w:rFonts w:hint="eastAsia"/>
          <w:color w:val="000000"/>
          <w:sz w:val="21"/>
          <w:szCs w:val="21"/>
        </w:rPr>
        <w:t>连接到至少足以产</w:t>
      </w:r>
      <w:r>
        <w:rPr>
          <w:rFonts w:hint="eastAsia"/>
          <w:color w:val="000000"/>
          <w:sz w:val="21"/>
          <w:szCs w:val="21"/>
          <w:lang w:eastAsia="zh-CN"/>
        </w:rPr>
        <w:t>生</w:t>
      </w:r>
      <w:r>
        <w:rPr>
          <w:rFonts w:hint="eastAsia"/>
          <w:color w:val="000000"/>
          <w:sz w:val="21"/>
          <w:szCs w:val="21"/>
        </w:rPr>
        <w:t>额定</w:t>
      </w:r>
      <w:r>
        <w:rPr>
          <w:rFonts w:hint="eastAsia"/>
          <w:color w:val="000000"/>
          <w:sz w:val="21"/>
          <w:szCs w:val="21"/>
          <w:lang w:eastAsia="zh-CN"/>
        </w:rPr>
        <w:t>交流</w:t>
      </w:r>
      <w:r>
        <w:rPr>
          <w:rFonts w:hint="eastAsia"/>
          <w:color w:val="000000"/>
          <w:sz w:val="21"/>
          <w:szCs w:val="21"/>
        </w:rPr>
        <w:t>电流的交流</w:t>
      </w:r>
      <w:r>
        <w:rPr>
          <w:rFonts w:hint="eastAsia"/>
          <w:color w:val="000000"/>
          <w:sz w:val="21"/>
          <w:szCs w:val="21"/>
          <w:lang w:eastAsia="zh-CN"/>
        </w:rPr>
        <w:t>电源</w:t>
      </w:r>
      <w:r>
        <w:rPr>
          <w:rFonts w:hint="eastAsia"/>
          <w:color w:val="000000"/>
          <w:sz w:val="21"/>
          <w:szCs w:val="21"/>
        </w:rPr>
        <w:t>，试验时</w:t>
      </w:r>
      <w:r>
        <w:rPr>
          <w:rFonts w:hint="eastAsia"/>
          <w:color w:val="000000"/>
          <w:sz w:val="21"/>
          <w:szCs w:val="21"/>
          <w:lang w:eastAsia="zh-CN"/>
        </w:rPr>
        <w:t>，</w:t>
      </w:r>
      <w:r>
        <w:rPr>
          <w:rFonts w:hint="eastAsia"/>
          <w:color w:val="000000"/>
          <w:sz w:val="21"/>
          <w:szCs w:val="21"/>
        </w:rPr>
        <w:t>控制设备（如</w:t>
      </w:r>
      <w:r>
        <w:rPr>
          <w:rFonts w:hint="eastAsia"/>
          <w:color w:val="000000"/>
          <w:sz w:val="21"/>
          <w:szCs w:val="21"/>
          <w:lang w:val="en-US" w:eastAsia="zh-CN"/>
        </w:rPr>
        <w:t>有</w:t>
      </w:r>
      <w:r>
        <w:rPr>
          <w:rFonts w:hint="eastAsia"/>
          <w:color w:val="000000"/>
          <w:sz w:val="21"/>
          <w:szCs w:val="21"/>
        </w:rPr>
        <w:t>）和辅助</w:t>
      </w:r>
      <w:r>
        <w:rPr>
          <w:rFonts w:hint="eastAsia"/>
          <w:color w:val="000000"/>
          <w:sz w:val="21"/>
          <w:szCs w:val="21"/>
          <w:lang w:eastAsia="zh-CN"/>
        </w:rPr>
        <w:t>装置</w:t>
      </w:r>
      <w:r>
        <w:rPr>
          <w:rFonts w:hint="eastAsia"/>
          <w:color w:val="000000"/>
          <w:sz w:val="21"/>
          <w:szCs w:val="21"/>
        </w:rPr>
        <w:t>单独以额</w:t>
      </w:r>
      <w:r>
        <w:rPr>
          <w:rFonts w:hint="eastAsia"/>
          <w:color w:val="000000"/>
          <w:sz w:val="21"/>
          <w:szCs w:val="21"/>
          <w:lang w:eastAsia="zh-CN"/>
        </w:rPr>
        <w:t>定</w:t>
      </w:r>
      <w:r>
        <w:rPr>
          <w:rFonts w:hint="eastAsia"/>
          <w:color w:val="000000"/>
          <w:sz w:val="21"/>
          <w:szCs w:val="21"/>
        </w:rPr>
        <w:t>电压供电</w:t>
      </w:r>
    </w:p>
    <w:p w14:paraId="52C4BB58">
      <w:pPr>
        <w:pStyle w:val="144"/>
        <w:spacing w:line="302" w:lineRule="exact"/>
        <w:ind w:firstLine="440"/>
        <w:jc w:val="left"/>
        <w:rPr>
          <w:sz w:val="21"/>
          <w:szCs w:val="21"/>
        </w:rPr>
      </w:pPr>
      <w:r>
        <w:rPr>
          <w:rFonts w:hint="eastAsia"/>
          <w:color w:val="000000"/>
          <w:sz w:val="21"/>
          <w:szCs w:val="21"/>
        </w:rPr>
        <w:t>通过适当</w:t>
      </w:r>
      <w:r>
        <w:rPr>
          <w:rFonts w:hint="eastAsia"/>
          <w:color w:val="000000"/>
          <w:sz w:val="21"/>
          <w:szCs w:val="21"/>
          <w:lang w:eastAsia="zh-CN"/>
        </w:rPr>
        <w:t>调节</w:t>
      </w:r>
      <w:r>
        <w:rPr>
          <w:rFonts w:hint="eastAsia"/>
          <w:color w:val="000000"/>
          <w:sz w:val="21"/>
          <w:szCs w:val="21"/>
        </w:rPr>
        <w:t>交流</w:t>
      </w:r>
      <w:r>
        <w:rPr>
          <w:rFonts w:hint="eastAsia"/>
          <w:color w:val="000000"/>
          <w:sz w:val="21"/>
          <w:szCs w:val="21"/>
          <w:lang w:eastAsia="zh-CN"/>
        </w:rPr>
        <w:t>输入</w:t>
      </w:r>
      <w:r>
        <w:rPr>
          <w:rFonts w:hint="eastAsia"/>
          <w:color w:val="000000"/>
          <w:sz w:val="21"/>
          <w:szCs w:val="21"/>
        </w:rPr>
        <w:t>电压，使额定连续电流流过</w:t>
      </w:r>
      <w:r>
        <w:rPr>
          <w:rFonts w:hint="eastAsia"/>
          <w:color w:val="000000"/>
          <w:sz w:val="21"/>
          <w:szCs w:val="21"/>
          <w:lang w:eastAsia="zh-CN"/>
        </w:rPr>
        <w:t>。</w:t>
      </w:r>
      <w:r>
        <w:rPr>
          <w:rFonts w:hint="eastAsia"/>
          <w:color w:val="000000"/>
          <w:sz w:val="21"/>
          <w:szCs w:val="21"/>
        </w:rPr>
        <w:t>检査运行情况</w:t>
      </w:r>
      <w:r>
        <w:rPr>
          <w:rFonts w:hint="eastAsia"/>
          <w:color w:val="000000"/>
          <w:sz w:val="21"/>
          <w:szCs w:val="21"/>
          <w:lang w:eastAsia="zh-CN"/>
        </w:rPr>
        <w:t>，</w:t>
      </w:r>
      <w:r>
        <w:rPr>
          <w:rFonts w:hint="eastAsia"/>
          <w:color w:val="000000"/>
          <w:sz w:val="21"/>
          <w:szCs w:val="21"/>
        </w:rPr>
        <w:t>如果</w:t>
      </w:r>
      <w:r>
        <w:rPr>
          <w:rFonts w:hint="eastAsia"/>
          <w:color w:val="000000"/>
          <w:sz w:val="21"/>
          <w:szCs w:val="21"/>
          <w:lang w:eastAsia="zh-CN"/>
        </w:rPr>
        <w:t>各</w:t>
      </w:r>
      <w:r>
        <w:rPr>
          <w:rFonts w:hint="eastAsia"/>
          <w:color w:val="000000"/>
          <w:sz w:val="21"/>
          <w:szCs w:val="21"/>
        </w:rPr>
        <w:t>臂中使</w:t>
      </w:r>
      <w:r>
        <w:rPr>
          <w:rFonts w:hint="eastAsia"/>
          <w:color w:val="000000"/>
          <w:sz w:val="21"/>
          <w:szCs w:val="21"/>
          <w:lang w:eastAsia="zh-CN"/>
        </w:rPr>
        <w:t>用</w:t>
      </w:r>
      <w:r>
        <w:rPr>
          <w:rFonts w:hint="eastAsia"/>
          <w:color w:val="000000"/>
          <w:sz w:val="21"/>
          <w:szCs w:val="21"/>
        </w:rPr>
        <w:t>并联的半导体器件</w:t>
      </w:r>
      <w:r>
        <w:rPr>
          <w:rFonts w:hint="eastAsia"/>
          <w:color w:val="000000"/>
          <w:sz w:val="21"/>
          <w:szCs w:val="21"/>
          <w:lang w:eastAsia="zh-CN"/>
        </w:rPr>
        <w:t>，</w:t>
      </w:r>
      <w:r>
        <w:rPr>
          <w:rFonts w:hint="eastAsia"/>
          <w:color w:val="000000"/>
          <w:sz w:val="21"/>
          <w:szCs w:val="21"/>
        </w:rPr>
        <w:t>应</w:t>
      </w:r>
      <w:r>
        <w:rPr>
          <w:rFonts w:hint="eastAsia"/>
          <w:color w:val="000000"/>
          <w:sz w:val="21"/>
          <w:szCs w:val="21"/>
          <w:lang w:eastAsia="zh-CN"/>
        </w:rPr>
        <w:t>检查</w:t>
      </w:r>
      <w:r>
        <w:rPr>
          <w:rFonts w:hint="eastAsia"/>
          <w:color w:val="000000"/>
          <w:sz w:val="21"/>
          <w:szCs w:val="21"/>
        </w:rPr>
        <w:t>电流的均衡分配情况</w:t>
      </w:r>
      <w:r>
        <w:rPr>
          <w:rFonts w:hint="eastAsia"/>
          <w:i/>
          <w:iCs/>
          <w:color w:val="000000"/>
          <w:sz w:val="21"/>
          <w:szCs w:val="21"/>
        </w:rPr>
        <w:t>。</w:t>
      </w:r>
    </w:p>
    <w:p w14:paraId="407788F3">
      <w:pPr>
        <w:pStyle w:val="144"/>
        <w:spacing w:after="200" w:line="302" w:lineRule="exact"/>
        <w:ind w:firstLine="400"/>
        <w:jc w:val="left"/>
        <w:rPr>
          <w:color w:val="000000"/>
          <w:sz w:val="21"/>
          <w:szCs w:val="21"/>
          <w:lang w:eastAsia="zh-CN"/>
        </w:rPr>
      </w:pPr>
      <w:r>
        <w:rPr>
          <w:rFonts w:hint="eastAsia"/>
          <w:color w:val="000000"/>
          <w:sz w:val="21"/>
          <w:szCs w:val="21"/>
        </w:rPr>
        <w:t>如果更方便</w:t>
      </w:r>
      <w:r>
        <w:rPr>
          <w:rFonts w:hint="eastAsia"/>
          <w:color w:val="000000"/>
          <w:sz w:val="21"/>
          <w:szCs w:val="21"/>
          <w:lang w:eastAsia="zh-CN"/>
        </w:rPr>
        <w:t>，</w:t>
      </w:r>
      <w:r>
        <w:rPr>
          <w:rFonts w:hint="eastAsia"/>
          <w:color w:val="000000"/>
          <w:sz w:val="21"/>
          <w:szCs w:val="21"/>
        </w:rPr>
        <w:t>可采</w:t>
      </w:r>
      <w:r>
        <w:rPr>
          <w:rFonts w:hint="eastAsia"/>
          <w:color w:val="000000"/>
          <w:sz w:val="21"/>
          <w:szCs w:val="21"/>
          <w:lang w:eastAsia="zh-CN"/>
        </w:rPr>
        <w:t>用</w:t>
      </w:r>
      <w:r>
        <w:rPr>
          <w:rFonts w:hint="eastAsia"/>
          <w:color w:val="000000"/>
          <w:sz w:val="21"/>
          <w:szCs w:val="21"/>
        </w:rPr>
        <w:t>额定交流电压下的全负载试验代替电流</w:t>
      </w:r>
      <w:r>
        <w:rPr>
          <w:rFonts w:hint="eastAsia"/>
          <w:color w:val="000000"/>
          <w:sz w:val="21"/>
          <w:szCs w:val="21"/>
          <w:lang w:eastAsia="zh-CN"/>
        </w:rPr>
        <w:t>试验。</w:t>
      </w:r>
    </w:p>
    <w:p w14:paraId="55958478">
      <w:pPr>
        <w:pStyle w:val="45"/>
        <w:numPr>
          <w:ilvl w:val="1"/>
          <w:numId w:val="2"/>
        </w:numPr>
        <w:adjustRightInd w:val="0"/>
        <w:snapToGrid w:val="0"/>
        <w:spacing w:before="156" w:beforeLines="50" w:after="156" w:afterLines="50"/>
        <w:ind w:left="0"/>
        <w:outlineLvl w:val="2"/>
      </w:pPr>
      <w:bookmarkStart w:id="71" w:name="_Toc123130266"/>
      <w:r>
        <w:rPr>
          <w:rFonts w:hint="eastAsia"/>
        </w:rPr>
        <w:t>短时耐受电流和峰值耐受电流试验</w:t>
      </w:r>
      <w:bookmarkEnd w:id="71"/>
      <w:r>
        <w:rPr>
          <w:rFonts w:hint="eastAsia"/>
        </w:rPr>
        <w:t xml:space="preserve"> </w:t>
      </w:r>
    </w:p>
    <w:p w14:paraId="0F5B9BFF">
      <w:pPr>
        <w:pStyle w:val="144"/>
        <w:spacing w:line="322" w:lineRule="exact"/>
        <w:ind w:firstLine="420"/>
        <w:rPr>
          <w:color w:val="000000"/>
          <w:sz w:val="21"/>
          <w:szCs w:val="21"/>
          <w:lang w:val="en-US" w:eastAsia="zh-CN"/>
        </w:rPr>
      </w:pPr>
      <w:r>
        <w:rPr>
          <w:rFonts w:hint="eastAsia"/>
          <w:color w:val="000000"/>
          <w:sz w:val="21"/>
          <w:szCs w:val="21"/>
        </w:rPr>
        <w:t>GB</w:t>
      </w:r>
      <w:r>
        <w:rPr>
          <w:color w:val="000000"/>
          <w:sz w:val="21"/>
          <w:szCs w:val="21"/>
        </w:rPr>
        <w:t xml:space="preserve">/T </w:t>
      </w:r>
      <w:r>
        <w:rPr>
          <w:rFonts w:hint="eastAsia"/>
          <w:color w:val="000000"/>
          <w:sz w:val="21"/>
          <w:szCs w:val="21"/>
        </w:rPr>
        <w:t>11022-</w:t>
      </w:r>
      <w:r>
        <w:rPr>
          <w:rFonts w:eastAsia="PMingLiU"/>
          <w:color w:val="000000"/>
          <w:sz w:val="21"/>
          <w:szCs w:val="21"/>
        </w:rPr>
        <w:t>2020</w:t>
      </w:r>
      <w:r>
        <w:rPr>
          <w:rFonts w:hint="eastAsia"/>
          <w:color w:val="000000"/>
          <w:sz w:val="21"/>
          <w:szCs w:val="21"/>
        </w:rPr>
        <w:t>中</w:t>
      </w:r>
      <w:r>
        <w:rPr>
          <w:rFonts w:eastAsia="PMingLiU"/>
          <w:color w:val="000000"/>
          <w:sz w:val="21"/>
          <w:szCs w:val="21"/>
        </w:rPr>
        <w:t>7</w:t>
      </w:r>
      <w:r>
        <w:rPr>
          <w:rFonts w:hint="eastAsia"/>
          <w:color w:val="000000"/>
          <w:sz w:val="21"/>
          <w:szCs w:val="21"/>
        </w:rPr>
        <w:t>.6适用。</w:t>
      </w:r>
      <w:r>
        <w:rPr>
          <w:rFonts w:hint="eastAsia"/>
          <w:color w:val="000000"/>
          <w:sz w:val="21"/>
          <w:szCs w:val="21"/>
          <w:lang w:val="en-US" w:eastAsia="zh-CN"/>
        </w:rPr>
        <w:t>试验时间按订货合同规定。</w:t>
      </w:r>
    </w:p>
    <w:p w14:paraId="20E3A76E">
      <w:pPr>
        <w:pStyle w:val="45"/>
        <w:numPr>
          <w:ilvl w:val="1"/>
          <w:numId w:val="2"/>
        </w:numPr>
        <w:adjustRightInd w:val="0"/>
        <w:snapToGrid w:val="0"/>
        <w:spacing w:before="156" w:beforeLines="50" w:after="156" w:afterLines="50"/>
        <w:ind w:left="0"/>
        <w:outlineLvl w:val="2"/>
      </w:pPr>
      <w:bookmarkStart w:id="72" w:name="_Toc123130267"/>
      <w:r>
        <w:rPr>
          <w:rFonts w:hint="eastAsia"/>
        </w:rPr>
        <w:t>温升试验</w:t>
      </w:r>
      <w:bookmarkEnd w:id="72"/>
    </w:p>
    <w:p w14:paraId="4376E43E">
      <w:pPr>
        <w:pStyle w:val="144"/>
        <w:spacing w:line="322" w:lineRule="exact"/>
        <w:ind w:firstLine="420"/>
        <w:rPr>
          <w:sz w:val="21"/>
          <w:szCs w:val="21"/>
        </w:rPr>
      </w:pPr>
      <w:r>
        <w:rPr>
          <w:rFonts w:hint="eastAsia"/>
          <w:color w:val="000000"/>
          <w:sz w:val="21"/>
          <w:szCs w:val="21"/>
          <w:lang w:eastAsia="zh-CN"/>
        </w:rPr>
        <w:t>开关</w:t>
      </w:r>
      <w:r>
        <w:rPr>
          <w:rFonts w:hint="eastAsia"/>
          <w:color w:val="000000"/>
          <w:sz w:val="21"/>
          <w:szCs w:val="21"/>
        </w:rPr>
        <w:t>温升应在冷却设备工作</w:t>
      </w:r>
      <w:r>
        <w:rPr>
          <w:rFonts w:hint="eastAsia"/>
          <w:color w:val="000000"/>
          <w:sz w:val="21"/>
          <w:szCs w:val="21"/>
          <w:lang w:val="en-US" w:eastAsia="zh-CN" w:bidi="en-US"/>
        </w:rPr>
        <w:t>，</w:t>
      </w:r>
      <w:r>
        <w:rPr>
          <w:rFonts w:hint="eastAsia"/>
          <w:color w:val="000000"/>
          <w:sz w:val="21"/>
          <w:szCs w:val="21"/>
        </w:rPr>
        <w:t>进行电流试验的条件下确定。如果在低于规定的最高温度的较低温度下试验</w:t>
      </w:r>
      <w:r>
        <w:rPr>
          <w:rFonts w:hint="eastAsia"/>
          <w:color w:val="000000"/>
          <w:sz w:val="21"/>
          <w:szCs w:val="21"/>
          <w:lang w:eastAsia="zh-CN"/>
        </w:rPr>
        <w:t>，</w:t>
      </w:r>
      <w:r>
        <w:rPr>
          <w:rFonts w:hint="eastAsia"/>
          <w:color w:val="000000"/>
          <w:sz w:val="21"/>
          <w:szCs w:val="21"/>
        </w:rPr>
        <w:t>应进</w:t>
      </w:r>
      <w:r>
        <w:rPr>
          <w:rFonts w:hint="eastAsia"/>
          <w:color w:val="000000"/>
          <w:sz w:val="21"/>
          <w:szCs w:val="21"/>
          <w:lang w:eastAsia="zh-CN"/>
        </w:rPr>
        <w:t>行</w:t>
      </w:r>
      <w:r>
        <w:rPr>
          <w:rFonts w:hint="eastAsia"/>
          <w:color w:val="000000"/>
          <w:sz w:val="21"/>
          <w:szCs w:val="21"/>
        </w:rPr>
        <w:t>修正。温升试验不限于主电路</w:t>
      </w:r>
      <w:r>
        <w:rPr>
          <w:rFonts w:hint="eastAsia"/>
          <w:i/>
          <w:iCs/>
          <w:color w:val="000000"/>
          <w:sz w:val="21"/>
          <w:szCs w:val="21"/>
        </w:rPr>
        <w:t>。</w:t>
      </w:r>
    </w:p>
    <w:p w14:paraId="18FD4399">
      <w:pPr>
        <w:pStyle w:val="144"/>
        <w:spacing w:line="240" w:lineRule="auto"/>
        <w:ind w:firstLine="420"/>
        <w:rPr>
          <w:sz w:val="21"/>
          <w:szCs w:val="21"/>
        </w:rPr>
      </w:pPr>
      <w:r>
        <w:rPr>
          <w:rFonts w:hint="eastAsia"/>
          <w:color w:val="000000"/>
          <w:sz w:val="21"/>
          <w:szCs w:val="21"/>
        </w:rPr>
        <w:t>温升试验应尽可能在额定负载下进行。</w:t>
      </w:r>
    </w:p>
    <w:p w14:paraId="58BDEA72">
      <w:pPr>
        <w:pStyle w:val="144"/>
        <w:spacing w:line="240" w:lineRule="auto"/>
        <w:ind w:firstLine="420"/>
        <w:rPr>
          <w:sz w:val="21"/>
          <w:szCs w:val="21"/>
        </w:rPr>
      </w:pPr>
      <w:r>
        <w:rPr>
          <w:rFonts w:hint="eastAsia"/>
          <w:color w:val="000000"/>
          <w:sz w:val="21"/>
          <w:szCs w:val="21"/>
        </w:rPr>
        <w:t>温升应在规定点测量</w:t>
      </w:r>
      <w:r>
        <w:rPr>
          <w:rFonts w:hint="eastAsia"/>
          <w:color w:val="000000"/>
          <w:sz w:val="21"/>
          <w:szCs w:val="21"/>
          <w:lang w:val="en-US" w:eastAsia="zh-CN" w:bidi="en-US"/>
        </w:rPr>
        <w:t>，</w:t>
      </w:r>
      <w:r>
        <w:rPr>
          <w:rFonts w:hint="eastAsia"/>
          <w:color w:val="000000"/>
          <w:sz w:val="21"/>
          <w:szCs w:val="21"/>
        </w:rPr>
        <w:t>测量结果应用于验证冷却设备的设计。</w:t>
      </w:r>
    </w:p>
    <w:p w14:paraId="338E1E92">
      <w:pPr>
        <w:pStyle w:val="144"/>
        <w:spacing w:line="240" w:lineRule="auto"/>
        <w:ind w:firstLine="420"/>
        <w:rPr>
          <w:sz w:val="21"/>
          <w:szCs w:val="21"/>
        </w:rPr>
      </w:pPr>
      <w:r>
        <w:rPr>
          <w:rFonts w:hint="eastAsia"/>
          <w:color w:val="000000"/>
          <w:sz w:val="21"/>
          <w:szCs w:val="21"/>
        </w:rPr>
        <w:t>如果</w:t>
      </w:r>
      <w:r>
        <w:rPr>
          <w:rFonts w:hint="eastAsia"/>
          <w:color w:val="000000"/>
          <w:sz w:val="21"/>
          <w:szCs w:val="21"/>
          <w:lang w:eastAsia="zh-CN"/>
        </w:rPr>
        <w:t>开关</w:t>
      </w:r>
      <w:r>
        <w:rPr>
          <w:rFonts w:hint="eastAsia"/>
          <w:color w:val="000000"/>
          <w:sz w:val="21"/>
          <w:szCs w:val="21"/>
        </w:rPr>
        <w:t>的额定值不是基于连续负载工作制,应测量主电路部件和冷却设备的瞬态热阻抗。试验时</w:t>
      </w:r>
      <w:r>
        <w:rPr>
          <w:rFonts w:hint="eastAsia"/>
          <w:color w:val="000000"/>
          <w:sz w:val="21"/>
          <w:szCs w:val="21"/>
          <w:lang w:eastAsia="zh-CN"/>
        </w:rPr>
        <w:t>，</w:t>
      </w:r>
      <w:r>
        <w:rPr>
          <w:rFonts w:hint="eastAsia"/>
          <w:color w:val="000000"/>
          <w:sz w:val="21"/>
          <w:szCs w:val="21"/>
        </w:rPr>
        <w:t>应测量若干部件</w:t>
      </w:r>
      <w:r>
        <w:rPr>
          <w:rFonts w:hint="eastAsia"/>
          <w:color w:val="000000"/>
          <w:sz w:val="21"/>
          <w:szCs w:val="21"/>
          <w:lang w:eastAsia="zh-CN"/>
        </w:rPr>
        <w:t>，</w:t>
      </w:r>
      <w:r>
        <w:rPr>
          <w:rFonts w:hint="eastAsia"/>
          <w:color w:val="000000"/>
          <w:sz w:val="21"/>
          <w:szCs w:val="21"/>
        </w:rPr>
        <w:t>包括它在最髙温度下的运行。</w:t>
      </w:r>
    </w:p>
    <w:p w14:paraId="61888E65">
      <w:pPr>
        <w:pStyle w:val="144"/>
        <w:spacing w:line="240" w:lineRule="auto"/>
        <w:ind w:firstLine="420"/>
        <w:rPr>
          <w:rFonts w:eastAsia="PMingLiU"/>
          <w:color w:val="000000"/>
          <w:sz w:val="21"/>
          <w:szCs w:val="21"/>
        </w:rPr>
      </w:pPr>
      <w:r>
        <w:rPr>
          <w:rFonts w:hint="eastAsia"/>
          <w:color w:val="000000"/>
          <w:sz w:val="21"/>
          <w:szCs w:val="21"/>
        </w:rPr>
        <w:t>应记录半导体阀器件规定点的温升</w:t>
      </w:r>
      <w:r>
        <w:rPr>
          <w:rFonts w:hint="eastAsia"/>
          <w:color w:val="000000"/>
          <w:sz w:val="21"/>
          <w:szCs w:val="21"/>
          <w:lang w:val="en-US" w:eastAsia="zh-CN" w:bidi="en-US"/>
        </w:rPr>
        <w:t>，</w:t>
      </w:r>
      <w:r>
        <w:rPr>
          <w:rFonts w:hint="eastAsia"/>
          <w:color w:val="000000"/>
          <w:sz w:val="21"/>
          <w:szCs w:val="21"/>
        </w:rPr>
        <w:t>并依此计算有效结温升</w:t>
      </w:r>
      <w:r>
        <w:rPr>
          <w:rFonts w:hint="eastAsia"/>
          <w:color w:val="000000"/>
          <w:sz w:val="21"/>
          <w:szCs w:val="21"/>
          <w:lang w:eastAsia="zh-CN"/>
        </w:rPr>
        <w:t>，</w:t>
      </w:r>
      <w:r>
        <w:rPr>
          <w:rFonts w:hint="eastAsia"/>
          <w:color w:val="000000"/>
          <w:sz w:val="21"/>
          <w:szCs w:val="21"/>
        </w:rPr>
        <w:t>以说明在考虑并联阀器件的实际均流情况后，组件能承受规定的负载</w:t>
      </w:r>
      <w:r>
        <w:rPr>
          <w:rFonts w:hint="eastAsia"/>
          <w:color w:val="000000"/>
          <w:sz w:val="21"/>
          <w:szCs w:val="21"/>
          <w:lang w:eastAsia="zh-CN"/>
        </w:rPr>
        <w:t>工</w:t>
      </w:r>
      <w:r>
        <w:rPr>
          <w:rFonts w:hint="eastAsia"/>
          <w:color w:val="000000"/>
          <w:sz w:val="21"/>
          <w:szCs w:val="21"/>
        </w:rPr>
        <w:t>作制而不超过表</w:t>
      </w:r>
      <w:r>
        <w:rPr>
          <w:rFonts w:hint="eastAsia"/>
          <w:color w:val="000000"/>
          <w:sz w:val="21"/>
          <w:szCs w:val="21"/>
          <w:lang w:eastAsia="zh-CN"/>
        </w:rPr>
        <w:t>5规定的</w:t>
      </w:r>
      <w:r>
        <w:rPr>
          <w:rFonts w:hint="eastAsia"/>
          <w:color w:val="000000"/>
          <w:sz w:val="21"/>
          <w:szCs w:val="21"/>
        </w:rPr>
        <w:t>器件的规定最高有效结温升。</w:t>
      </w:r>
    </w:p>
    <w:p w14:paraId="4DB804F5">
      <w:pPr>
        <w:spacing w:after="419" w:line="1" w:lineRule="exact"/>
        <w:rPr>
          <w:rFonts w:ascii="宋体" w:hAnsi="宋体" w:cs="宋体"/>
        </w:rPr>
      </w:pPr>
    </w:p>
    <w:p w14:paraId="47232380">
      <w:pPr>
        <w:pStyle w:val="45"/>
        <w:numPr>
          <w:ilvl w:val="1"/>
          <w:numId w:val="2"/>
        </w:numPr>
        <w:adjustRightInd w:val="0"/>
        <w:snapToGrid w:val="0"/>
        <w:spacing w:before="156" w:beforeLines="50" w:after="156" w:afterLines="50"/>
        <w:ind w:left="0"/>
        <w:outlineLvl w:val="2"/>
      </w:pPr>
      <w:bookmarkStart w:id="73" w:name="_Toc123130268"/>
      <w:r>
        <w:rPr>
          <w:rFonts w:hint="eastAsia"/>
        </w:rPr>
        <w:t>辅助装置和控制设备性能检查</w:t>
      </w:r>
      <w:bookmarkEnd w:id="73"/>
    </w:p>
    <w:p w14:paraId="79243047">
      <w:pPr>
        <w:pStyle w:val="46"/>
        <w:spacing w:before="156" w:after="156"/>
        <w:ind w:left="0"/>
        <w:rPr>
          <w:lang w:val="zh-TW" w:eastAsia="zh-TW" w:bidi="zh-TW"/>
        </w:rPr>
      </w:pPr>
      <w:r>
        <w:rPr>
          <w:rFonts w:hint="eastAsia"/>
          <w:lang w:val="zh-TW" w:eastAsia="zh-TW" w:bidi="zh-TW"/>
        </w:rPr>
        <w:t>辅助装置检查</w:t>
      </w:r>
    </w:p>
    <w:p w14:paraId="2EDFF20E">
      <w:pPr>
        <w:pStyle w:val="144"/>
        <w:spacing w:line="326" w:lineRule="exact"/>
        <w:ind w:firstLine="420"/>
        <w:rPr>
          <w:sz w:val="21"/>
          <w:szCs w:val="21"/>
        </w:rPr>
      </w:pPr>
      <w:r>
        <w:rPr>
          <w:rFonts w:hint="eastAsia"/>
          <w:color w:val="000000"/>
          <w:sz w:val="21"/>
          <w:szCs w:val="21"/>
        </w:rPr>
        <w:t>应检査诸如接触器、泵、程序化设备、风机等辅助装置的功能。如果方便，检查可结合轻载试验进行。</w:t>
      </w:r>
    </w:p>
    <w:p w14:paraId="2099291D">
      <w:pPr>
        <w:pStyle w:val="144"/>
        <w:spacing w:after="240" w:line="326" w:lineRule="exact"/>
        <w:ind w:firstLine="420"/>
        <w:rPr>
          <w:sz w:val="21"/>
          <w:szCs w:val="21"/>
        </w:rPr>
      </w:pPr>
      <w:r>
        <w:rPr>
          <w:rFonts w:hint="eastAsia"/>
          <w:color w:val="000000"/>
          <w:sz w:val="21"/>
          <w:szCs w:val="21"/>
        </w:rPr>
        <w:t>如果辅助装置已单独通过的绝缘试验电压低于其在电力</w:t>
      </w:r>
      <w:r>
        <w:rPr>
          <w:rFonts w:hint="eastAsia"/>
          <w:color w:val="000000"/>
          <w:sz w:val="21"/>
          <w:szCs w:val="21"/>
          <w:lang w:eastAsia="zh-CN"/>
        </w:rPr>
        <w:t>开关</w:t>
      </w:r>
      <w:r>
        <w:rPr>
          <w:rFonts w:hint="eastAsia"/>
          <w:color w:val="000000"/>
          <w:sz w:val="21"/>
          <w:szCs w:val="21"/>
        </w:rPr>
        <w:t>设备中可能承受的电压，应进一步检验其绝缘性能。</w:t>
      </w:r>
    </w:p>
    <w:p w14:paraId="641EFC61">
      <w:pPr>
        <w:pStyle w:val="46"/>
        <w:spacing w:before="156" w:after="156"/>
        <w:ind w:left="0"/>
        <w:rPr>
          <w:lang w:val="zh-TW" w:eastAsia="zh-TW" w:bidi="zh-TW"/>
        </w:rPr>
      </w:pPr>
      <w:r>
        <w:rPr>
          <w:rFonts w:hint="eastAsia"/>
          <w:lang w:val="zh-TW" w:eastAsia="zh-TW" w:bidi="zh-TW"/>
        </w:rPr>
        <w:t>控制设备性能检查</w:t>
      </w:r>
    </w:p>
    <w:p w14:paraId="40201E20">
      <w:pPr>
        <w:pStyle w:val="144"/>
        <w:spacing w:line="323" w:lineRule="exact"/>
        <w:ind w:firstLine="420"/>
        <w:rPr>
          <w:sz w:val="21"/>
          <w:szCs w:val="21"/>
        </w:rPr>
      </w:pPr>
      <w:r>
        <w:rPr>
          <w:rFonts w:hint="eastAsia"/>
          <w:color w:val="000000"/>
          <w:sz w:val="21"/>
          <w:szCs w:val="21"/>
        </w:rPr>
        <w:t>验证控制设备在实际运行时经常发生的所有负载条件下的控制特性并不可行。然而，建议尽可能 在实际负载条件下检查触发设备。如果不能在制造商的场地检查，可与用户协商，在设备安装后检查。</w:t>
      </w:r>
    </w:p>
    <w:p w14:paraId="4E2A72C8">
      <w:pPr>
        <w:pStyle w:val="144"/>
        <w:spacing w:after="240" w:line="323" w:lineRule="exact"/>
        <w:ind w:firstLine="420"/>
        <w:jc w:val="left"/>
        <w:rPr>
          <w:sz w:val="21"/>
          <w:szCs w:val="21"/>
        </w:rPr>
      </w:pPr>
      <w:r>
        <w:rPr>
          <w:rFonts w:hint="eastAsia"/>
          <w:color w:val="000000"/>
          <w:sz w:val="21"/>
          <w:szCs w:val="21"/>
        </w:rPr>
        <w:t>当切实可行时，控制设备的检查可只限于在</w:t>
      </w:r>
      <w:r>
        <w:rPr>
          <w:color w:val="000000"/>
          <w:sz w:val="21"/>
          <w:szCs w:val="21"/>
          <w:lang w:val="en-US" w:eastAsia="zh-CN" w:bidi="en-US"/>
        </w:rPr>
        <w:t>8.2</w:t>
      </w:r>
      <w:r>
        <w:rPr>
          <w:rFonts w:hint="eastAsia"/>
          <w:color w:val="000000"/>
          <w:sz w:val="21"/>
          <w:szCs w:val="21"/>
        </w:rPr>
        <w:t>规定的两种负载条件下</w:t>
      </w:r>
      <w:r>
        <w:rPr>
          <w:rFonts w:hint="eastAsia"/>
          <w:color w:val="000000"/>
          <w:sz w:val="21"/>
          <w:szCs w:val="21"/>
          <w:lang w:val="zh-CN" w:eastAsia="zh-CN" w:bidi="zh-CN"/>
        </w:rPr>
        <w:t>进行</w:t>
      </w:r>
      <w:r>
        <w:rPr>
          <w:rFonts w:hint="eastAsia"/>
          <w:color w:val="000000"/>
          <w:sz w:val="21"/>
          <w:szCs w:val="21"/>
        </w:rPr>
        <w:t>控制设备的静态和动态性能均应检查</w:t>
      </w:r>
      <w:r>
        <w:rPr>
          <w:rFonts w:eastAsia="PMingLiU"/>
          <w:color w:val="000000"/>
          <w:sz w:val="21"/>
          <w:szCs w:val="21"/>
        </w:rPr>
        <w:t>，</w:t>
      </w:r>
      <w:r>
        <w:rPr>
          <w:rFonts w:hint="eastAsia"/>
          <w:color w:val="000000"/>
          <w:sz w:val="21"/>
          <w:szCs w:val="21"/>
        </w:rPr>
        <w:t>包括设备在设计允许的供电电压变化范围内的所有值下是否运行良好。</w:t>
      </w:r>
    </w:p>
    <w:p w14:paraId="6A5249BD">
      <w:pPr>
        <w:pStyle w:val="46"/>
        <w:spacing w:before="156" w:after="156"/>
        <w:ind w:left="0"/>
        <w:rPr>
          <w:lang w:val="zh-TW" w:eastAsia="zh-TW" w:bidi="zh-TW"/>
        </w:rPr>
      </w:pPr>
      <w:r>
        <w:rPr>
          <w:rFonts w:hint="eastAsia"/>
          <w:lang w:val="zh-TW" w:eastAsia="zh-TW" w:bidi="zh-TW"/>
        </w:rPr>
        <w:t>保护装置检查</w:t>
      </w:r>
    </w:p>
    <w:p w14:paraId="272A0C49">
      <w:pPr>
        <w:pStyle w:val="144"/>
        <w:spacing w:line="325" w:lineRule="exact"/>
        <w:ind w:firstLine="400"/>
        <w:jc w:val="left"/>
        <w:rPr>
          <w:sz w:val="21"/>
          <w:szCs w:val="21"/>
        </w:rPr>
      </w:pPr>
      <w:r>
        <w:rPr>
          <w:rFonts w:hint="eastAsia"/>
          <w:color w:val="000000"/>
          <w:sz w:val="21"/>
          <w:szCs w:val="21"/>
        </w:rPr>
        <w:t>保护装置检查主要包括：</w:t>
      </w:r>
    </w:p>
    <w:p w14:paraId="7D67CC90">
      <w:pPr>
        <w:pStyle w:val="144"/>
        <w:spacing w:line="325" w:lineRule="exact"/>
        <w:ind w:firstLine="400"/>
        <w:jc w:val="left"/>
        <w:rPr>
          <w:sz w:val="21"/>
          <w:szCs w:val="21"/>
        </w:rPr>
      </w:pPr>
      <w:r>
        <w:rPr>
          <w:rFonts w:hint="eastAsia"/>
          <w:color w:val="000000"/>
          <w:sz w:val="21"/>
          <w:szCs w:val="21"/>
          <w:lang w:val="en-US" w:eastAsia="zh-CN" w:bidi="en-US"/>
        </w:rPr>
        <w:t>——</w:t>
      </w:r>
      <w:r>
        <w:rPr>
          <w:rFonts w:hint="eastAsia"/>
          <w:color w:val="000000"/>
          <w:sz w:val="21"/>
          <w:szCs w:val="21"/>
          <w:lang w:val="zh-CN" w:eastAsia="zh-CN" w:bidi="zh-CN"/>
        </w:rPr>
        <w:t>检</w:t>
      </w:r>
      <w:r>
        <w:rPr>
          <w:rFonts w:hint="eastAsia"/>
          <w:color w:val="000000"/>
          <w:sz w:val="21"/>
          <w:szCs w:val="21"/>
        </w:rPr>
        <w:t>查过电流保护装置的整定值；</w:t>
      </w:r>
    </w:p>
    <w:p w14:paraId="7C28658B">
      <w:pPr>
        <w:pStyle w:val="144"/>
        <w:spacing w:after="40" w:line="325" w:lineRule="exact"/>
        <w:ind w:firstLine="400"/>
        <w:rPr>
          <w:sz w:val="21"/>
          <w:szCs w:val="21"/>
        </w:rPr>
      </w:pPr>
      <w:r>
        <w:rPr>
          <w:rFonts w:hint="eastAsia"/>
          <w:color w:val="000000"/>
          <w:sz w:val="21"/>
          <w:szCs w:val="21"/>
          <w:lang w:val="en-US" w:eastAsia="zh-CN" w:bidi="en-US"/>
        </w:rPr>
        <w:t>——</w:t>
      </w:r>
      <w:r>
        <w:rPr>
          <w:rFonts w:hint="eastAsia"/>
          <w:color w:val="000000"/>
          <w:sz w:val="21"/>
          <w:szCs w:val="21"/>
        </w:rPr>
        <w:t>检查快速熔断器和快速开关的正确动作；</w:t>
      </w:r>
    </w:p>
    <w:p w14:paraId="5F0A1A02">
      <w:pPr>
        <w:pStyle w:val="144"/>
        <w:spacing w:after="40" w:line="325" w:lineRule="exact"/>
        <w:ind w:firstLine="400"/>
        <w:jc w:val="left"/>
        <w:rPr>
          <w:sz w:val="21"/>
          <w:szCs w:val="21"/>
        </w:rPr>
      </w:pPr>
      <w:r>
        <w:rPr>
          <w:rFonts w:hint="eastAsia"/>
          <w:color w:val="000000"/>
          <w:sz w:val="21"/>
          <w:szCs w:val="21"/>
          <w:lang w:val="en-US" w:eastAsia="zh-CN" w:bidi="en-US"/>
        </w:rPr>
        <w:t>——</w:t>
      </w:r>
      <w:r>
        <w:rPr>
          <w:rFonts w:hint="eastAsia"/>
          <w:color w:val="000000"/>
          <w:sz w:val="21"/>
          <w:szCs w:val="21"/>
        </w:rPr>
        <w:t>检查过电压保护装置的性能；</w:t>
      </w:r>
    </w:p>
    <w:p w14:paraId="2F218828">
      <w:pPr>
        <w:pStyle w:val="144"/>
        <w:spacing w:after="40" w:line="325" w:lineRule="exact"/>
        <w:ind w:firstLine="400"/>
        <w:rPr>
          <w:sz w:val="21"/>
          <w:szCs w:val="21"/>
        </w:rPr>
      </w:pPr>
      <w:r>
        <w:rPr>
          <w:rFonts w:hint="eastAsia"/>
          <w:color w:val="000000"/>
          <w:sz w:val="21"/>
          <w:szCs w:val="21"/>
          <w:lang w:val="en-US" w:eastAsia="zh-CN" w:bidi="en-US"/>
        </w:rPr>
        <w:t>——</w:t>
      </w:r>
      <w:r>
        <w:rPr>
          <w:rFonts w:hint="eastAsia"/>
          <w:color w:val="000000"/>
          <w:sz w:val="21"/>
          <w:szCs w:val="21"/>
        </w:rPr>
        <w:t>检查冷却设备流速、流量、压力、超温等保护器件动作的可靠性；</w:t>
      </w:r>
    </w:p>
    <w:p w14:paraId="4632167D">
      <w:pPr>
        <w:pStyle w:val="144"/>
        <w:spacing w:after="40" w:line="325" w:lineRule="exact"/>
        <w:ind w:firstLine="400"/>
        <w:rPr>
          <w:sz w:val="21"/>
          <w:szCs w:val="21"/>
        </w:rPr>
      </w:pPr>
      <w:r>
        <w:rPr>
          <w:rFonts w:hint="eastAsia"/>
          <w:color w:val="000000"/>
          <w:sz w:val="21"/>
          <w:szCs w:val="21"/>
          <w:lang w:val="en-US" w:eastAsia="zh-CN" w:bidi="en-US"/>
        </w:rPr>
        <w:t>——</w:t>
      </w:r>
      <w:r>
        <w:rPr>
          <w:rFonts w:hint="eastAsia"/>
          <w:color w:val="000000"/>
          <w:sz w:val="21"/>
          <w:szCs w:val="21"/>
        </w:rPr>
        <w:t>检查安全接地装置和开关的正确设置及各种保护间的协调动作。</w:t>
      </w:r>
    </w:p>
    <w:p w14:paraId="41B157D6">
      <w:pPr>
        <w:pStyle w:val="144"/>
        <w:spacing w:line="325" w:lineRule="exact"/>
        <w:ind w:firstLine="400"/>
        <w:jc w:val="left"/>
        <w:rPr>
          <w:color w:val="000000"/>
          <w:sz w:val="21"/>
          <w:szCs w:val="21"/>
        </w:rPr>
      </w:pPr>
      <w:r>
        <w:rPr>
          <w:rFonts w:hint="eastAsia"/>
          <w:color w:val="000000"/>
          <w:sz w:val="21"/>
          <w:szCs w:val="21"/>
        </w:rPr>
        <w:t>保护装置的检查应尽可能在设备中的部件不超过其额定值的应力下进行。</w:t>
      </w:r>
    </w:p>
    <w:p w14:paraId="2330B272">
      <w:pPr>
        <w:pStyle w:val="144"/>
        <w:spacing w:line="370" w:lineRule="exact"/>
        <w:ind w:firstLine="420"/>
        <w:rPr>
          <w:sz w:val="21"/>
          <w:szCs w:val="21"/>
        </w:rPr>
      </w:pPr>
      <w:r>
        <w:rPr>
          <w:rFonts w:hint="eastAsia"/>
          <w:color w:val="000000"/>
          <w:sz w:val="21"/>
          <w:szCs w:val="21"/>
        </w:rPr>
        <w:t>保护装置及其组合的种类繁多,不可能对这些装置的检查规定通用规则。然而</w:t>
      </w:r>
      <w:r>
        <w:rPr>
          <w:rFonts w:hint="eastAsia"/>
          <w:color w:val="000000"/>
          <w:sz w:val="21"/>
          <w:szCs w:val="21"/>
          <w:lang w:eastAsia="zh-CN"/>
        </w:rPr>
        <w:t>，</w:t>
      </w:r>
      <w:r>
        <w:rPr>
          <w:rFonts w:hint="eastAsia"/>
          <w:color w:val="000000"/>
          <w:sz w:val="21"/>
          <w:szCs w:val="21"/>
        </w:rPr>
        <w:t>如果系统保护装置用于</w:t>
      </w:r>
      <w:r>
        <w:rPr>
          <w:rFonts w:hint="eastAsia"/>
          <w:color w:val="000000"/>
          <w:sz w:val="21"/>
          <w:szCs w:val="21"/>
          <w:lang w:eastAsia="zh-CN"/>
        </w:rPr>
        <w:t>开关</w:t>
      </w:r>
      <w:r>
        <w:rPr>
          <w:rFonts w:hint="eastAsia"/>
          <w:color w:val="000000"/>
          <w:sz w:val="21"/>
          <w:szCs w:val="21"/>
        </w:rPr>
        <w:t>电流过载保护</w:t>
      </w:r>
      <w:r>
        <w:rPr>
          <w:rFonts w:hint="eastAsia"/>
          <w:color w:val="000000"/>
          <w:sz w:val="21"/>
          <w:szCs w:val="21"/>
          <w:lang w:eastAsia="zh-CN"/>
        </w:rPr>
        <w:t>，</w:t>
      </w:r>
      <w:r>
        <w:rPr>
          <w:rFonts w:hint="eastAsia"/>
          <w:color w:val="000000"/>
          <w:sz w:val="21"/>
          <w:szCs w:val="21"/>
        </w:rPr>
        <w:t>应检查其这方面的能力。</w:t>
      </w:r>
    </w:p>
    <w:p w14:paraId="7F54C53A">
      <w:pPr>
        <w:pStyle w:val="144"/>
        <w:spacing w:line="370" w:lineRule="exact"/>
        <w:ind w:firstLine="400"/>
        <w:jc w:val="left"/>
        <w:rPr>
          <w:sz w:val="21"/>
          <w:szCs w:val="21"/>
        </w:rPr>
      </w:pPr>
      <w:r>
        <w:rPr>
          <w:rFonts w:hint="eastAsia"/>
          <w:color w:val="000000"/>
          <w:sz w:val="21"/>
          <w:szCs w:val="21"/>
        </w:rPr>
        <w:t>如果认为有必要在型式试验时检查熔断器保护的有效性，应另行规定其试验条件。</w:t>
      </w:r>
    </w:p>
    <w:p w14:paraId="2819555B">
      <w:pPr>
        <w:pStyle w:val="144"/>
        <w:spacing w:after="280" w:line="370" w:lineRule="exact"/>
        <w:ind w:firstLine="420"/>
        <w:rPr>
          <w:sz w:val="21"/>
          <w:szCs w:val="21"/>
        </w:rPr>
      </w:pPr>
      <w:r>
        <w:rPr>
          <w:rFonts w:hint="eastAsia"/>
          <w:color w:val="000000"/>
          <w:sz w:val="21"/>
          <w:szCs w:val="21"/>
        </w:rPr>
        <w:t>出厂试验时应检查保护装置的动作。然而，这不意味着应检查诸如熔断器等那种动作基于执行零部件的破坏的装置的动作。</w:t>
      </w:r>
    </w:p>
    <w:p w14:paraId="0AF1CB80">
      <w:pPr>
        <w:pStyle w:val="46"/>
        <w:spacing w:before="156" w:after="156"/>
        <w:ind w:left="0"/>
        <w:rPr>
          <w:lang w:val="zh-TW" w:eastAsia="zh-TW" w:bidi="zh-TW"/>
        </w:rPr>
      </w:pPr>
      <w:r>
        <w:rPr>
          <w:rFonts w:hint="eastAsia"/>
          <w:lang w:val="zh-TW" w:eastAsia="zh-TW" w:bidi="zh-TW"/>
        </w:rPr>
        <w:t>冷却设备检验</w:t>
      </w:r>
    </w:p>
    <w:p w14:paraId="7C0DCB4B">
      <w:pPr>
        <w:pStyle w:val="144"/>
        <w:spacing w:line="374" w:lineRule="exact"/>
        <w:ind w:firstLine="400"/>
        <w:jc w:val="left"/>
        <w:rPr>
          <w:rFonts w:eastAsia="PMingLiU"/>
          <w:color w:val="000000"/>
          <w:sz w:val="21"/>
          <w:szCs w:val="21"/>
        </w:rPr>
      </w:pPr>
      <w:r>
        <w:rPr>
          <w:rFonts w:hint="eastAsia"/>
          <w:color w:val="000000"/>
          <w:sz w:val="21"/>
          <w:szCs w:val="21"/>
        </w:rPr>
        <w:t>冷却设备应按相应的专用产品标准检验。</w:t>
      </w:r>
    </w:p>
    <w:p w14:paraId="3BF1F2DF">
      <w:pPr>
        <w:pStyle w:val="45"/>
        <w:numPr>
          <w:ilvl w:val="1"/>
          <w:numId w:val="2"/>
        </w:numPr>
        <w:adjustRightInd w:val="0"/>
        <w:snapToGrid w:val="0"/>
        <w:spacing w:before="156" w:beforeLines="50" w:after="156" w:afterLines="50"/>
        <w:ind w:left="0"/>
        <w:outlineLvl w:val="2"/>
        <w:rPr>
          <w:rFonts w:eastAsia="PMingLiU"/>
          <w:bCs/>
          <w:szCs w:val="21"/>
        </w:rPr>
      </w:pPr>
      <w:bookmarkStart w:id="74" w:name="_Toc123130269"/>
      <w:r>
        <w:rPr>
          <w:rFonts w:eastAsia="PMingLiU"/>
          <w:bCs/>
          <w:szCs w:val="21"/>
        </w:rPr>
        <w:t>外壳</w:t>
      </w:r>
      <w:r>
        <w:rPr>
          <w:szCs w:val="21"/>
        </w:rPr>
        <w:t>防护等级</w:t>
      </w:r>
      <w:bookmarkEnd w:id="74"/>
    </w:p>
    <w:p w14:paraId="249EBA0B">
      <w:pPr>
        <w:pStyle w:val="146"/>
        <w:spacing w:after="240" w:line="314" w:lineRule="exact"/>
        <w:ind w:firstLine="0"/>
        <w:jc w:val="left"/>
        <w:rPr>
          <w:rFonts w:eastAsia="PMingLiU"/>
          <w:color w:val="000000"/>
          <w:sz w:val="21"/>
          <w:szCs w:val="21"/>
          <w:highlight w:val="yellow"/>
        </w:rPr>
      </w:pPr>
      <w:r>
        <w:rPr>
          <w:rFonts w:hint="eastAsia"/>
          <w:bCs/>
          <w:sz w:val="21"/>
          <w:szCs w:val="21"/>
          <w:lang w:val="en-US" w:eastAsia="zh-CN"/>
        </w:rPr>
        <w:t xml:space="preserve">   </w:t>
      </w:r>
      <w:r>
        <w:rPr>
          <w:rFonts w:hint="eastAsia"/>
          <w:sz w:val="21"/>
          <w:szCs w:val="21"/>
          <w:lang w:val="en-US" w:eastAsia="zh-CN"/>
        </w:rPr>
        <w:t xml:space="preserve">  开关的外壳防护等级应通过GB/T</w:t>
      </w:r>
      <w:r>
        <w:rPr>
          <w:sz w:val="21"/>
          <w:szCs w:val="21"/>
          <w:lang w:val="en-US" w:eastAsia="zh-CN"/>
        </w:rPr>
        <w:t xml:space="preserve"> </w:t>
      </w:r>
      <w:r>
        <w:rPr>
          <w:rFonts w:hint="eastAsia"/>
          <w:sz w:val="21"/>
          <w:szCs w:val="21"/>
          <w:lang w:val="en-US" w:eastAsia="zh-CN"/>
        </w:rPr>
        <w:t>4208-2017的相应试验。</w:t>
      </w:r>
    </w:p>
    <w:p w14:paraId="3BAD438C">
      <w:pPr>
        <w:pStyle w:val="45"/>
        <w:numPr>
          <w:ilvl w:val="1"/>
          <w:numId w:val="2"/>
        </w:numPr>
        <w:adjustRightInd w:val="0"/>
        <w:snapToGrid w:val="0"/>
        <w:spacing w:before="156" w:beforeLines="50" w:after="156" w:afterLines="50"/>
        <w:ind w:left="0"/>
        <w:outlineLvl w:val="2"/>
        <w:rPr>
          <w:szCs w:val="21"/>
        </w:rPr>
      </w:pPr>
      <w:bookmarkStart w:id="75" w:name="_Toc123130270"/>
      <w:r>
        <w:rPr>
          <w:rFonts w:hint="eastAsia"/>
          <w:szCs w:val="21"/>
        </w:rPr>
        <w:t>电磁兼容性（EMC）试验</w:t>
      </w:r>
      <w:bookmarkEnd w:id="75"/>
    </w:p>
    <w:p w14:paraId="2FC2B8F5">
      <w:pPr>
        <w:pStyle w:val="144"/>
        <w:spacing w:line="374" w:lineRule="exact"/>
        <w:ind w:firstLine="400"/>
        <w:jc w:val="left"/>
        <w:rPr>
          <w:rFonts w:eastAsia="PMingLiU"/>
          <w:color w:val="000000"/>
          <w:sz w:val="21"/>
          <w:szCs w:val="21"/>
          <w:lang w:eastAsia="zh-CN"/>
        </w:rPr>
      </w:pPr>
      <w:r>
        <w:rPr>
          <w:rFonts w:hint="eastAsia"/>
          <w:color w:val="000000"/>
          <w:sz w:val="21"/>
          <w:szCs w:val="21"/>
        </w:rPr>
        <w:t>开关的辅助和控制回路</w:t>
      </w:r>
      <w:r>
        <w:rPr>
          <w:rFonts w:hint="eastAsia"/>
          <w:color w:val="000000"/>
          <w:sz w:val="21"/>
          <w:szCs w:val="21"/>
          <w:lang w:eastAsia="zh-CN"/>
        </w:rPr>
        <w:t>电磁兼容性</w:t>
      </w:r>
      <w:r>
        <w:rPr>
          <w:color w:val="000000"/>
          <w:sz w:val="21"/>
          <w:szCs w:val="21"/>
          <w:lang w:eastAsia="zh-CN"/>
        </w:rPr>
        <w:t>试验</w:t>
      </w:r>
      <w:r>
        <w:rPr>
          <w:rFonts w:hint="eastAsia"/>
          <w:color w:val="000000"/>
          <w:sz w:val="21"/>
          <w:szCs w:val="21"/>
        </w:rPr>
        <w:t>应符合GB/T 11022-2020的7.9.2和7.9.3的要求</w:t>
      </w:r>
      <w:r>
        <w:rPr>
          <w:rFonts w:hint="eastAsia"/>
          <w:color w:val="000000"/>
          <w:sz w:val="21"/>
          <w:szCs w:val="21"/>
          <w:lang w:eastAsia="zh-CN"/>
        </w:rPr>
        <w:t>，试验后开关不出现永久的损坏，系统仍应能完全运行。</w:t>
      </w:r>
    </w:p>
    <w:p w14:paraId="73BF53BC">
      <w:pPr>
        <w:pStyle w:val="45"/>
        <w:numPr>
          <w:ilvl w:val="1"/>
          <w:numId w:val="2"/>
        </w:numPr>
        <w:adjustRightInd w:val="0"/>
        <w:snapToGrid w:val="0"/>
        <w:spacing w:before="156" w:beforeLines="50" w:after="156" w:afterLines="50"/>
        <w:ind w:left="0"/>
        <w:outlineLvl w:val="2"/>
        <w:rPr>
          <w:szCs w:val="21"/>
        </w:rPr>
      </w:pPr>
      <w:bookmarkStart w:id="76" w:name="_Toc123130271"/>
      <w:r>
        <w:rPr>
          <w:rFonts w:hint="eastAsia"/>
          <w:szCs w:val="21"/>
        </w:rPr>
        <w:t>可听噪声测量和附加试验</w:t>
      </w:r>
      <w:bookmarkEnd w:id="76"/>
    </w:p>
    <w:p w14:paraId="00F369C8">
      <w:pPr>
        <w:pStyle w:val="144"/>
        <w:spacing w:line="374" w:lineRule="exact"/>
        <w:ind w:firstLine="400"/>
        <w:jc w:val="left"/>
        <w:rPr>
          <w:color w:val="000000"/>
          <w:sz w:val="21"/>
          <w:szCs w:val="21"/>
          <w:lang w:eastAsia="zh-CN"/>
        </w:rPr>
      </w:pPr>
      <w:r>
        <w:rPr>
          <w:rFonts w:hint="eastAsia"/>
          <w:color w:val="000000"/>
          <w:sz w:val="21"/>
          <w:szCs w:val="21"/>
        </w:rPr>
        <w:t>可听噪声测量的程序和限值应另行规定。</w:t>
      </w:r>
      <w:r>
        <w:rPr>
          <w:rFonts w:hint="eastAsia"/>
          <w:color w:val="000000"/>
          <w:sz w:val="21"/>
          <w:szCs w:val="21"/>
          <w:lang w:eastAsia="zh-CN"/>
        </w:rPr>
        <w:t>整个设备的可听噪声可能与单个功能单元显著不同。试验室条件产生与计算值或测量值的差异。</w:t>
      </w:r>
    </w:p>
    <w:p w14:paraId="2D7427F1">
      <w:pPr>
        <w:pStyle w:val="144"/>
        <w:spacing w:line="374" w:lineRule="exact"/>
        <w:ind w:firstLine="400"/>
        <w:jc w:val="left"/>
        <w:rPr>
          <w:color w:val="000000"/>
          <w:sz w:val="21"/>
          <w:szCs w:val="21"/>
          <w:lang w:eastAsia="zh-CN"/>
        </w:rPr>
      </w:pPr>
      <w:r>
        <w:rPr>
          <w:rFonts w:hint="eastAsia"/>
          <w:color w:val="000000"/>
          <w:sz w:val="21"/>
          <w:szCs w:val="21"/>
          <w:lang w:eastAsia="zh-CN"/>
        </w:rPr>
        <w:t>附加试验（如：振动、冲击、环境和漂移，如必要）的规范和程序应另行规定。</w:t>
      </w:r>
    </w:p>
    <w:p w14:paraId="06B96188">
      <w:pPr>
        <w:pStyle w:val="45"/>
        <w:numPr>
          <w:ilvl w:val="0"/>
          <w:numId w:val="2"/>
        </w:numPr>
        <w:spacing w:before="312" w:after="312"/>
        <w:rPr>
          <w:rFonts w:hAnsi="黑体" w:cs="宋体"/>
          <w:bCs/>
          <w:szCs w:val="21"/>
        </w:rPr>
      </w:pPr>
      <w:bookmarkStart w:id="77" w:name="_Toc123130272"/>
      <w:bookmarkStart w:id="78" w:name="_Toc5516"/>
      <w:r>
        <w:rPr>
          <w:rFonts w:hint="eastAsia" w:hAnsi="黑体" w:cs="宋体"/>
          <w:bCs/>
          <w:szCs w:val="21"/>
        </w:rPr>
        <w:t>标志、包装、运输和贮存</w:t>
      </w:r>
      <w:bookmarkEnd w:id="77"/>
      <w:bookmarkEnd w:id="78"/>
    </w:p>
    <w:p w14:paraId="79F53F0F">
      <w:pPr>
        <w:pStyle w:val="45"/>
        <w:numPr>
          <w:ilvl w:val="1"/>
          <w:numId w:val="2"/>
        </w:numPr>
        <w:adjustRightInd w:val="0"/>
        <w:snapToGrid w:val="0"/>
        <w:spacing w:before="156" w:beforeLines="50" w:after="156" w:afterLines="50"/>
        <w:ind w:left="0"/>
        <w:outlineLvl w:val="2"/>
        <w:rPr>
          <w:szCs w:val="21"/>
        </w:rPr>
      </w:pPr>
      <w:bookmarkStart w:id="79" w:name="_Toc123130273"/>
      <w:r>
        <w:rPr>
          <w:szCs w:val="21"/>
        </w:rPr>
        <w:t>标志</w:t>
      </w:r>
      <w:bookmarkEnd w:id="79"/>
    </w:p>
    <w:p w14:paraId="48A8D137">
      <w:pPr>
        <w:pStyle w:val="46"/>
        <w:spacing w:before="156" w:after="156"/>
        <w:ind w:left="0"/>
        <w:rPr>
          <w:lang w:val="zh-TW" w:eastAsia="zh-TW" w:bidi="zh-TW"/>
        </w:rPr>
      </w:pPr>
      <w:r>
        <w:rPr>
          <w:rFonts w:hint="eastAsia"/>
          <w:lang w:val="zh-TW" w:bidi="zh-TW"/>
        </w:rPr>
        <w:t>标识</w:t>
      </w:r>
    </w:p>
    <w:p w14:paraId="5F33F220">
      <w:pPr>
        <w:pStyle w:val="144"/>
        <w:spacing w:line="312" w:lineRule="exact"/>
        <w:ind w:firstLine="400"/>
        <w:jc w:val="left"/>
        <w:rPr>
          <w:sz w:val="21"/>
          <w:szCs w:val="21"/>
        </w:rPr>
      </w:pPr>
      <w:r>
        <w:rPr>
          <w:color w:val="000000"/>
          <w:sz w:val="21"/>
          <w:szCs w:val="21"/>
        </w:rPr>
        <w:t>整体交货的毎个电力变</w:t>
      </w:r>
      <w:r>
        <w:rPr>
          <w:rFonts w:hint="eastAsia"/>
          <w:color w:val="000000"/>
          <w:sz w:val="21"/>
          <w:szCs w:val="21"/>
          <w:lang w:eastAsia="zh-CN"/>
        </w:rPr>
        <w:t>开关</w:t>
      </w:r>
      <w:r>
        <w:rPr>
          <w:color w:val="000000"/>
          <w:sz w:val="21"/>
          <w:szCs w:val="21"/>
        </w:rPr>
        <w:t>和单独交货的每个组件均应有如下</w:t>
      </w:r>
      <w:r>
        <w:rPr>
          <w:rFonts w:hint="eastAsia"/>
          <w:color w:val="000000"/>
          <w:sz w:val="21"/>
          <w:szCs w:val="21"/>
          <w:lang w:eastAsia="zh-CN"/>
        </w:rPr>
        <w:t>标识</w:t>
      </w:r>
      <w:r>
        <w:rPr>
          <w:color w:val="000000"/>
          <w:sz w:val="21"/>
          <w:szCs w:val="21"/>
        </w:rPr>
        <w:t>：</w:t>
      </w:r>
    </w:p>
    <w:p w14:paraId="1EAC7577">
      <w:pPr>
        <w:pStyle w:val="144"/>
        <w:spacing w:line="312" w:lineRule="exact"/>
        <w:ind w:firstLine="400"/>
        <w:jc w:val="left"/>
        <w:rPr>
          <w:sz w:val="21"/>
          <w:szCs w:val="21"/>
        </w:rPr>
      </w:pPr>
      <w:r>
        <w:rPr>
          <w:rFonts w:hint="eastAsia"/>
          <w:color w:val="000000"/>
          <w:sz w:val="21"/>
          <w:szCs w:val="21"/>
        </w:rPr>
        <w:t>a）</w:t>
      </w:r>
      <w:r>
        <w:rPr>
          <w:rFonts w:hint="eastAsia"/>
          <w:color w:val="000000"/>
          <w:sz w:val="21"/>
          <w:szCs w:val="21"/>
          <w:lang w:eastAsia="zh-CN"/>
        </w:rPr>
        <w:t xml:space="preserve"> </w:t>
      </w:r>
      <w:r>
        <w:rPr>
          <w:color w:val="000000"/>
          <w:sz w:val="21"/>
          <w:szCs w:val="21"/>
        </w:rPr>
        <w:t>制造商或供应商；</w:t>
      </w:r>
    </w:p>
    <w:p w14:paraId="5064DE9A">
      <w:pPr>
        <w:pStyle w:val="145"/>
        <w:spacing w:after="0" w:line="312" w:lineRule="exact"/>
        <w:ind w:firstLine="400"/>
        <w:jc w:val="left"/>
        <w:rPr>
          <w:sz w:val="21"/>
          <w:szCs w:val="21"/>
        </w:rPr>
      </w:pPr>
      <w:r>
        <w:rPr>
          <w:rFonts w:hint="eastAsia" w:ascii="宋体" w:hAnsi="宋体" w:cs="宋体"/>
          <w:color w:val="000000"/>
          <w:sz w:val="21"/>
          <w:szCs w:val="21"/>
          <w:lang w:val="zh-TW" w:eastAsia="zh-TW" w:bidi="zh-TW"/>
        </w:rPr>
        <w:t>b）</w:t>
      </w:r>
      <w:r>
        <w:rPr>
          <w:rFonts w:hint="eastAsia" w:ascii="宋体" w:hAnsi="宋体" w:cs="宋体"/>
          <w:color w:val="000000"/>
          <w:sz w:val="21"/>
          <w:szCs w:val="21"/>
          <w:lang w:val="zh-TW" w:bidi="zh-TW"/>
        </w:rPr>
        <w:t xml:space="preserve"> </w:t>
      </w:r>
      <w:r>
        <w:rPr>
          <w:rFonts w:ascii="宋体" w:hAnsi="宋体" w:cs="宋体"/>
          <w:color w:val="000000"/>
          <w:sz w:val="21"/>
          <w:szCs w:val="21"/>
          <w:lang w:val="zh-TW" w:eastAsia="zh-TW" w:bidi="zh-TW"/>
        </w:rPr>
        <w:t>设备类型；</w:t>
      </w:r>
    </w:p>
    <w:p w14:paraId="5E75F461">
      <w:pPr>
        <w:pStyle w:val="145"/>
        <w:spacing w:after="0" w:line="312" w:lineRule="exact"/>
        <w:ind w:firstLine="400"/>
        <w:jc w:val="left"/>
        <w:rPr>
          <w:sz w:val="21"/>
          <w:szCs w:val="21"/>
        </w:rPr>
      </w:pPr>
      <w:r>
        <w:rPr>
          <w:rFonts w:hint="eastAsia"/>
          <w:color w:val="000000"/>
          <w:sz w:val="21"/>
          <w:szCs w:val="21"/>
        </w:rPr>
        <w:t>c）</w:t>
      </w:r>
      <w:r>
        <w:rPr>
          <w:rFonts w:hint="eastAsia"/>
          <w:color w:val="000000"/>
          <w:sz w:val="21"/>
          <w:szCs w:val="21"/>
        </w:rPr>
        <w:tab/>
      </w:r>
      <w:r>
        <w:rPr>
          <w:color w:val="000000"/>
          <w:sz w:val="21"/>
          <w:szCs w:val="21"/>
        </w:rPr>
        <w:t>标示对应的相序（如</w:t>
      </w:r>
      <w:r>
        <w:rPr>
          <w:rFonts w:hint="eastAsia"/>
          <w:color w:val="000000"/>
          <w:sz w:val="21"/>
          <w:szCs w:val="21"/>
        </w:rPr>
        <w:t>需</w:t>
      </w:r>
      <w:r>
        <w:rPr>
          <w:color w:val="000000"/>
          <w:sz w:val="21"/>
          <w:szCs w:val="21"/>
        </w:rPr>
        <w:t>遵守）。</w:t>
      </w:r>
    </w:p>
    <w:p w14:paraId="4B33C2E5">
      <w:pPr>
        <w:pStyle w:val="46"/>
        <w:spacing w:before="156" w:after="156"/>
        <w:ind w:left="0"/>
        <w:rPr>
          <w:lang w:val="zh-TW" w:eastAsia="zh-TW" w:bidi="zh-TW"/>
        </w:rPr>
      </w:pPr>
      <w:r>
        <w:rPr>
          <w:lang w:val="zh-TW" w:eastAsia="zh-TW" w:bidi="zh-TW"/>
        </w:rPr>
        <w:t>铭牌</w:t>
      </w:r>
    </w:p>
    <w:p w14:paraId="23BFD63D">
      <w:pPr>
        <w:pStyle w:val="144"/>
        <w:spacing w:line="312" w:lineRule="exact"/>
        <w:ind w:firstLine="400"/>
        <w:jc w:val="left"/>
        <w:rPr>
          <w:color w:val="000000"/>
          <w:sz w:val="21"/>
          <w:szCs w:val="21"/>
        </w:rPr>
      </w:pPr>
      <w:r>
        <w:rPr>
          <w:color w:val="000000"/>
          <w:sz w:val="21"/>
          <w:szCs w:val="21"/>
        </w:rPr>
        <w:t>设备和组件的铭牌应与产品一起提供以下信息。对于不由其专用标准涵盖的产品，铭牌应有如下内容：</w:t>
      </w:r>
    </w:p>
    <w:p w14:paraId="3B403CDD">
      <w:pPr>
        <w:pStyle w:val="144"/>
        <w:tabs>
          <w:tab w:val="left" w:pos="805"/>
        </w:tabs>
        <w:spacing w:line="312" w:lineRule="exact"/>
        <w:ind w:firstLine="400"/>
        <w:jc w:val="left"/>
        <w:rPr>
          <w:sz w:val="21"/>
          <w:szCs w:val="21"/>
        </w:rPr>
      </w:pPr>
      <w:bookmarkStart w:id="80" w:name="bookmark326"/>
      <w:r>
        <w:rPr>
          <w:rFonts w:ascii="Times New Roman" w:hAnsi="Times New Roman" w:eastAsia="Times New Roman" w:cs="Times New Roman"/>
          <w:color w:val="000000"/>
          <w:sz w:val="21"/>
          <w:szCs w:val="21"/>
          <w:lang w:val="en-US" w:eastAsia="zh-CN" w:bidi="en-US"/>
        </w:rPr>
        <w:t>a</w:t>
      </w:r>
      <w:bookmarkEnd w:id="80"/>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标识依据、制造商的型号和序号；</w:t>
      </w:r>
    </w:p>
    <w:p w14:paraId="700B3E89">
      <w:pPr>
        <w:pStyle w:val="144"/>
        <w:tabs>
          <w:tab w:val="left" w:pos="805"/>
        </w:tabs>
        <w:spacing w:line="312" w:lineRule="exact"/>
        <w:ind w:firstLine="400"/>
        <w:jc w:val="left"/>
        <w:rPr>
          <w:sz w:val="21"/>
          <w:szCs w:val="21"/>
        </w:rPr>
      </w:pPr>
      <w:bookmarkStart w:id="81" w:name="bookmark327"/>
      <w:r>
        <w:rPr>
          <w:rFonts w:ascii="Times New Roman" w:hAnsi="Times New Roman" w:eastAsia="Times New Roman" w:cs="Times New Roman"/>
          <w:color w:val="000000"/>
          <w:sz w:val="21"/>
          <w:szCs w:val="21"/>
          <w:lang w:val="en-US" w:eastAsia="zh-CN" w:bidi="en-US"/>
        </w:rPr>
        <w:t>b</w:t>
      </w:r>
      <w:bookmarkEnd w:id="81"/>
      <w:r>
        <w:rPr>
          <w:rFonts w:ascii="Times New Roman" w:hAnsi="Times New Roman" w:eastAsia="Times New Roman" w:cs="Times New Roman"/>
          <w:color w:val="000000"/>
          <w:sz w:val="21"/>
          <w:szCs w:val="21"/>
        </w:rPr>
        <w:t>）</w:t>
      </w:r>
      <w:r>
        <w:rPr>
          <w:rFonts w:ascii="Times New Roman" w:hAnsi="Times New Roman" w:eastAsia="Times New Roman" w:cs="Times New Roman"/>
          <w:color w:val="000000"/>
          <w:sz w:val="21"/>
          <w:szCs w:val="21"/>
        </w:rPr>
        <w:tab/>
      </w:r>
      <w:r>
        <w:rPr>
          <w:color w:val="000000"/>
          <w:sz w:val="21"/>
          <w:szCs w:val="21"/>
        </w:rPr>
        <w:t>输入相数（包括中性线</w:t>
      </w:r>
      <w:r>
        <w:rPr>
          <w:rFonts w:hint="eastAsia"/>
          <w:color w:val="000000"/>
          <w:sz w:val="21"/>
          <w:szCs w:val="21"/>
          <w:lang w:eastAsia="zh-CN"/>
        </w:rPr>
        <w:t>，</w:t>
      </w:r>
      <w:r>
        <w:rPr>
          <w:color w:val="000000"/>
          <w:sz w:val="21"/>
          <w:szCs w:val="21"/>
        </w:rPr>
        <w:t>如有必要连接）；</w:t>
      </w:r>
    </w:p>
    <w:p w14:paraId="1138B69F">
      <w:pPr>
        <w:pStyle w:val="144"/>
        <w:tabs>
          <w:tab w:val="left" w:pos="805"/>
        </w:tabs>
        <w:spacing w:line="312" w:lineRule="exact"/>
        <w:ind w:firstLine="400"/>
        <w:jc w:val="left"/>
        <w:rPr>
          <w:sz w:val="21"/>
          <w:szCs w:val="21"/>
        </w:rPr>
      </w:pPr>
      <w:bookmarkStart w:id="82" w:name="bookmark328"/>
      <w:r>
        <w:rPr>
          <w:rFonts w:ascii="Times New Roman" w:hAnsi="Times New Roman" w:eastAsia="Times New Roman" w:cs="Times New Roman"/>
          <w:color w:val="000000"/>
          <w:sz w:val="21"/>
          <w:szCs w:val="21"/>
          <w:lang w:val="en-US" w:eastAsia="zh-CN" w:bidi="en-US"/>
        </w:rPr>
        <w:t>c</w:t>
      </w:r>
      <w:bookmarkEnd w:id="82"/>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额定电压；</w:t>
      </w:r>
    </w:p>
    <w:p w14:paraId="176087F3">
      <w:pPr>
        <w:pStyle w:val="144"/>
        <w:tabs>
          <w:tab w:val="left" w:pos="805"/>
        </w:tabs>
        <w:spacing w:line="312" w:lineRule="exact"/>
        <w:ind w:firstLine="400"/>
        <w:jc w:val="left"/>
        <w:rPr>
          <w:sz w:val="21"/>
          <w:szCs w:val="21"/>
        </w:rPr>
      </w:pPr>
      <w:bookmarkStart w:id="83" w:name="bookmark329"/>
      <w:r>
        <w:rPr>
          <w:rFonts w:ascii="Times New Roman" w:hAnsi="Times New Roman" w:eastAsia="Times New Roman" w:cs="Times New Roman"/>
          <w:color w:val="000000"/>
          <w:sz w:val="21"/>
          <w:szCs w:val="21"/>
          <w:lang w:val="en-US" w:eastAsia="zh-CN" w:bidi="en-US"/>
        </w:rPr>
        <w:t>d</w:t>
      </w:r>
      <w:bookmarkEnd w:id="83"/>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额定电流；</w:t>
      </w:r>
    </w:p>
    <w:p w14:paraId="0BBC2DCD">
      <w:pPr>
        <w:pStyle w:val="144"/>
        <w:spacing w:line="312" w:lineRule="exact"/>
        <w:ind w:firstLine="400"/>
        <w:jc w:val="left"/>
        <w:rPr>
          <w:sz w:val="21"/>
          <w:szCs w:val="21"/>
        </w:rPr>
      </w:pPr>
      <w:r>
        <w:rPr>
          <w:rFonts w:hint="eastAsia" w:ascii="Times New Roman" w:hAnsi="Times New Roman" w:cs="Times New Roman"/>
          <w:color w:val="000000"/>
          <w:sz w:val="21"/>
          <w:szCs w:val="21"/>
          <w:lang w:val="en-US" w:eastAsia="zh-CN" w:bidi="en-US"/>
        </w:rPr>
        <w:t>e</w:t>
      </w:r>
      <w:r>
        <w:rPr>
          <w:color w:val="000000"/>
          <w:sz w:val="21"/>
          <w:szCs w:val="21"/>
          <w:lang w:val="en-US" w:eastAsia="zh-CN" w:bidi="en-US"/>
        </w:rPr>
        <w:t>）</w:t>
      </w:r>
      <w:r>
        <w:rPr>
          <w:rFonts w:hint="eastAsia"/>
          <w:color w:val="000000"/>
          <w:sz w:val="21"/>
          <w:szCs w:val="21"/>
          <w:lang w:val="en-US" w:eastAsia="zh-CN" w:bidi="en-US"/>
        </w:rPr>
        <w:t xml:space="preserve"> </w:t>
      </w:r>
      <w:r>
        <w:rPr>
          <w:color w:val="000000"/>
          <w:sz w:val="21"/>
          <w:szCs w:val="21"/>
        </w:rPr>
        <w:t>额定频率；</w:t>
      </w:r>
    </w:p>
    <w:p w14:paraId="5E53C9E7">
      <w:pPr>
        <w:pStyle w:val="145"/>
        <w:spacing w:after="0" w:line="312" w:lineRule="exact"/>
        <w:ind w:firstLine="400"/>
        <w:jc w:val="left"/>
        <w:rPr>
          <w:color w:val="000000"/>
          <w:sz w:val="21"/>
          <w:szCs w:val="21"/>
        </w:rPr>
      </w:pPr>
      <w:r>
        <w:rPr>
          <w:rFonts w:hint="eastAsia" w:ascii="宋体" w:hAnsi="宋体" w:cs="宋体"/>
          <w:color w:val="000000"/>
          <w:sz w:val="21"/>
          <w:szCs w:val="21"/>
          <w:lang w:bidi="en-US"/>
        </w:rPr>
        <w:t>f</w:t>
      </w:r>
      <w:r>
        <w:rPr>
          <w:rFonts w:ascii="宋体" w:hAnsi="宋体" w:cs="宋体"/>
          <w:color w:val="000000"/>
          <w:sz w:val="21"/>
          <w:szCs w:val="21"/>
          <w:lang w:bidi="en-US"/>
        </w:rPr>
        <w:t>）</w:t>
      </w:r>
      <w:r>
        <w:rPr>
          <w:color w:val="000000"/>
          <w:sz w:val="21"/>
          <w:szCs w:val="21"/>
        </w:rPr>
        <w:tab/>
      </w:r>
      <w:r>
        <w:rPr>
          <w:color w:val="000000"/>
          <w:sz w:val="21"/>
          <w:szCs w:val="21"/>
        </w:rPr>
        <w:t>工作制类型或工作制等级；</w:t>
      </w:r>
    </w:p>
    <w:p w14:paraId="61E86010">
      <w:pPr>
        <w:pStyle w:val="145"/>
        <w:spacing w:after="0" w:line="312" w:lineRule="exact"/>
        <w:ind w:firstLine="400"/>
        <w:jc w:val="left"/>
        <w:rPr>
          <w:sz w:val="21"/>
          <w:szCs w:val="21"/>
        </w:rPr>
      </w:pPr>
      <w:r>
        <w:rPr>
          <w:rFonts w:hint="eastAsia"/>
          <w:color w:val="000000"/>
          <w:sz w:val="21"/>
          <w:szCs w:val="21"/>
        </w:rPr>
        <w:t>g</w:t>
      </w:r>
      <w:r>
        <w:rPr>
          <w:color w:val="000000"/>
          <w:sz w:val="21"/>
          <w:szCs w:val="21"/>
        </w:rPr>
        <w:t>）</w:t>
      </w:r>
      <w:r>
        <w:rPr>
          <w:rFonts w:eastAsia="Times New Roman"/>
          <w:color w:val="000000"/>
          <w:sz w:val="21"/>
          <w:szCs w:val="21"/>
          <w:lang w:bidi="en-US"/>
        </w:rPr>
        <w:tab/>
      </w:r>
      <w:r>
        <w:rPr>
          <w:color w:val="000000"/>
          <w:sz w:val="21"/>
          <w:szCs w:val="21"/>
        </w:rPr>
        <w:t>执行标准。</w:t>
      </w:r>
    </w:p>
    <w:p w14:paraId="2CB2E336">
      <w:pPr>
        <w:pStyle w:val="144"/>
        <w:spacing w:line="326" w:lineRule="exact"/>
        <w:ind w:firstLine="360"/>
        <w:jc w:val="left"/>
        <w:rPr>
          <w:sz w:val="21"/>
          <w:szCs w:val="21"/>
          <w:lang w:eastAsia="zh-CN"/>
        </w:rPr>
      </w:pPr>
      <w:r>
        <w:rPr>
          <w:color w:val="000000"/>
          <w:sz w:val="21"/>
          <w:szCs w:val="21"/>
        </w:rPr>
        <w:t>如适用</w:t>
      </w:r>
      <w:r>
        <w:rPr>
          <w:rFonts w:hint="eastAsia"/>
          <w:color w:val="000000"/>
          <w:sz w:val="21"/>
          <w:szCs w:val="21"/>
          <w:lang w:val="en-US" w:eastAsia="zh-CN" w:bidi="en-US"/>
        </w:rPr>
        <w:t>，</w:t>
      </w:r>
      <w:r>
        <w:rPr>
          <w:color w:val="000000"/>
          <w:sz w:val="21"/>
          <w:szCs w:val="21"/>
        </w:rPr>
        <w:t>铭牌可增加一些</w:t>
      </w:r>
      <w:r>
        <w:rPr>
          <w:rFonts w:hint="eastAsia"/>
          <w:color w:val="000000"/>
          <w:sz w:val="21"/>
          <w:szCs w:val="21"/>
        </w:rPr>
        <w:t>附加的内容</w:t>
      </w:r>
      <w:r>
        <w:rPr>
          <w:rFonts w:hint="eastAsia"/>
          <w:color w:val="000000"/>
          <w:sz w:val="21"/>
          <w:szCs w:val="21"/>
          <w:lang w:eastAsia="zh-CN"/>
        </w:rPr>
        <w:t>：</w:t>
      </w:r>
    </w:p>
    <w:p w14:paraId="16355FA8">
      <w:pPr>
        <w:pStyle w:val="144"/>
        <w:tabs>
          <w:tab w:val="left" w:pos="769"/>
        </w:tabs>
        <w:spacing w:line="326" w:lineRule="exact"/>
        <w:ind w:firstLine="360"/>
        <w:jc w:val="left"/>
        <w:rPr>
          <w:sz w:val="21"/>
          <w:szCs w:val="21"/>
        </w:rPr>
      </w:pPr>
      <w:bookmarkStart w:id="84" w:name="bookmark342"/>
      <w:r>
        <w:rPr>
          <w:rFonts w:ascii="Times New Roman" w:hAnsi="Times New Roman" w:eastAsia="Times New Roman" w:cs="Times New Roman"/>
          <w:color w:val="000000"/>
          <w:sz w:val="21"/>
          <w:szCs w:val="21"/>
          <w:lang w:val="en-US" w:eastAsia="zh-CN" w:bidi="en-US"/>
        </w:rPr>
        <w:t>a</w:t>
      </w:r>
      <w:bookmarkEnd w:id="84"/>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冷却方式；</w:t>
      </w:r>
    </w:p>
    <w:p w14:paraId="12383105">
      <w:pPr>
        <w:pStyle w:val="144"/>
        <w:tabs>
          <w:tab w:val="left" w:pos="769"/>
        </w:tabs>
        <w:spacing w:line="326" w:lineRule="exact"/>
        <w:ind w:firstLine="360"/>
        <w:jc w:val="left"/>
        <w:rPr>
          <w:sz w:val="21"/>
          <w:szCs w:val="21"/>
        </w:rPr>
      </w:pPr>
      <w:bookmarkStart w:id="85" w:name="bookmark343"/>
      <w:r>
        <w:rPr>
          <w:rFonts w:ascii="Times New Roman" w:hAnsi="Times New Roman" w:eastAsia="Times New Roman" w:cs="Times New Roman"/>
          <w:color w:val="000000"/>
          <w:sz w:val="21"/>
          <w:szCs w:val="21"/>
          <w:lang w:val="en-US" w:eastAsia="zh-CN" w:bidi="en-US"/>
        </w:rPr>
        <w:t>b</w:t>
      </w:r>
      <w:bookmarkEnd w:id="85"/>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冷却要求（热转移媒质的温度、流速）；</w:t>
      </w:r>
    </w:p>
    <w:p w14:paraId="6A731DE6">
      <w:pPr>
        <w:pStyle w:val="144"/>
        <w:tabs>
          <w:tab w:val="left" w:pos="769"/>
        </w:tabs>
        <w:spacing w:line="326" w:lineRule="exact"/>
        <w:ind w:firstLine="360"/>
        <w:jc w:val="left"/>
        <w:rPr>
          <w:sz w:val="21"/>
          <w:szCs w:val="21"/>
        </w:rPr>
      </w:pPr>
      <w:bookmarkStart w:id="86" w:name="bookmark344"/>
      <w:r>
        <w:rPr>
          <w:rFonts w:ascii="Times New Roman" w:hAnsi="Times New Roman" w:eastAsia="Times New Roman" w:cs="Times New Roman"/>
          <w:color w:val="000000"/>
          <w:sz w:val="21"/>
          <w:szCs w:val="21"/>
          <w:lang w:val="en-US" w:eastAsia="zh-CN" w:bidi="en-US"/>
        </w:rPr>
        <w:t>c</w:t>
      </w:r>
      <w:bookmarkEnd w:id="86"/>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总质量、冷却液（如有）质量；</w:t>
      </w:r>
    </w:p>
    <w:p w14:paraId="5D8648BF">
      <w:pPr>
        <w:pStyle w:val="144"/>
        <w:tabs>
          <w:tab w:val="left" w:pos="769"/>
        </w:tabs>
        <w:spacing w:line="326" w:lineRule="exact"/>
        <w:ind w:firstLine="360"/>
        <w:rPr>
          <w:sz w:val="21"/>
          <w:szCs w:val="21"/>
        </w:rPr>
      </w:pPr>
      <w:bookmarkStart w:id="87" w:name="bookmark345"/>
      <w:r>
        <w:rPr>
          <w:rFonts w:ascii="Times New Roman" w:hAnsi="Times New Roman" w:eastAsia="Times New Roman" w:cs="Times New Roman"/>
          <w:color w:val="000000"/>
          <w:sz w:val="21"/>
          <w:szCs w:val="21"/>
          <w:lang w:val="en-US" w:eastAsia="zh-CN" w:bidi="en-US"/>
        </w:rPr>
        <w:t>d</w:t>
      </w:r>
      <w:bookmarkEnd w:id="87"/>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防护等级；</w:t>
      </w:r>
    </w:p>
    <w:p w14:paraId="33376585">
      <w:pPr>
        <w:pStyle w:val="45"/>
        <w:numPr>
          <w:ilvl w:val="1"/>
          <w:numId w:val="2"/>
        </w:numPr>
        <w:adjustRightInd w:val="0"/>
        <w:snapToGrid w:val="0"/>
        <w:spacing w:before="156" w:beforeLines="50" w:after="156" w:afterLines="50"/>
        <w:ind w:left="0"/>
        <w:outlineLvl w:val="2"/>
      </w:pPr>
      <w:bookmarkStart w:id="88" w:name="_Toc123130274"/>
      <w:r>
        <w:t>包装</w:t>
      </w:r>
      <w:bookmarkEnd w:id="88"/>
    </w:p>
    <w:p w14:paraId="3DE7ED75">
      <w:pPr>
        <w:pStyle w:val="144"/>
        <w:spacing w:line="326" w:lineRule="exact"/>
        <w:ind w:firstLine="360"/>
        <w:jc w:val="left"/>
        <w:rPr>
          <w:sz w:val="21"/>
          <w:szCs w:val="21"/>
        </w:rPr>
      </w:pPr>
      <w:r>
        <w:rPr>
          <w:color w:val="000000"/>
          <w:sz w:val="21"/>
          <w:szCs w:val="21"/>
        </w:rPr>
        <w:t>产品包装应符合</w:t>
      </w:r>
      <w:r>
        <w:rPr>
          <w:rFonts w:ascii="Times New Roman" w:hAnsi="Times New Roman" w:eastAsia="Times New Roman" w:cs="Times New Roman"/>
          <w:color w:val="000000"/>
          <w:sz w:val="21"/>
          <w:szCs w:val="21"/>
          <w:lang w:val="en-US" w:eastAsia="zh-CN" w:bidi="en-US"/>
        </w:rPr>
        <w:t xml:space="preserve">GB T </w:t>
      </w:r>
      <w:r>
        <w:rPr>
          <w:rFonts w:ascii="Times New Roman" w:hAnsi="Times New Roman" w:eastAsia="Times New Roman" w:cs="Times New Roman"/>
          <w:color w:val="000000"/>
          <w:sz w:val="21"/>
          <w:szCs w:val="21"/>
        </w:rPr>
        <w:t>13384</w:t>
      </w:r>
      <w:r>
        <w:rPr>
          <w:color w:val="000000"/>
          <w:sz w:val="21"/>
          <w:szCs w:val="21"/>
        </w:rPr>
        <w:t>的规定</w:t>
      </w:r>
      <w:r>
        <w:rPr>
          <w:rFonts w:hint="eastAsia"/>
          <w:color w:val="000000"/>
          <w:sz w:val="21"/>
          <w:szCs w:val="21"/>
          <w:lang w:eastAsia="zh-CN"/>
        </w:rPr>
        <w:t>，</w:t>
      </w:r>
      <w:r>
        <w:rPr>
          <w:color w:val="000000"/>
          <w:sz w:val="21"/>
          <w:szCs w:val="21"/>
        </w:rPr>
        <w:t>随同产品包装一起提供的技术文件包括但不限于：</w:t>
      </w:r>
    </w:p>
    <w:p w14:paraId="3A0F60B4">
      <w:pPr>
        <w:pStyle w:val="144"/>
        <w:tabs>
          <w:tab w:val="left" w:pos="769"/>
        </w:tabs>
        <w:spacing w:line="326" w:lineRule="exact"/>
        <w:ind w:firstLine="360"/>
        <w:jc w:val="left"/>
        <w:rPr>
          <w:sz w:val="21"/>
          <w:szCs w:val="21"/>
        </w:rPr>
      </w:pPr>
      <w:bookmarkStart w:id="89" w:name="bookmark348"/>
      <w:r>
        <w:rPr>
          <w:rFonts w:ascii="Times New Roman" w:hAnsi="Times New Roman" w:eastAsia="Times New Roman" w:cs="Times New Roman"/>
          <w:color w:val="000000"/>
          <w:sz w:val="21"/>
          <w:szCs w:val="21"/>
          <w:lang w:val="en-US" w:eastAsia="zh-CN" w:bidi="en-US"/>
        </w:rPr>
        <w:t>a</w:t>
      </w:r>
      <w:bookmarkEnd w:id="89"/>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装箱清单；</w:t>
      </w:r>
    </w:p>
    <w:p w14:paraId="2CA999BD">
      <w:pPr>
        <w:pStyle w:val="144"/>
        <w:tabs>
          <w:tab w:val="left" w:pos="769"/>
        </w:tabs>
        <w:spacing w:line="326" w:lineRule="exact"/>
        <w:ind w:firstLine="360"/>
        <w:jc w:val="left"/>
        <w:rPr>
          <w:sz w:val="21"/>
          <w:szCs w:val="21"/>
        </w:rPr>
      </w:pPr>
      <w:bookmarkStart w:id="90" w:name="bookmark349"/>
      <w:r>
        <w:rPr>
          <w:rFonts w:ascii="Times New Roman" w:hAnsi="Times New Roman" w:eastAsia="Times New Roman" w:cs="Times New Roman"/>
          <w:color w:val="000000"/>
          <w:sz w:val="21"/>
          <w:szCs w:val="21"/>
          <w:lang w:val="en-US" w:eastAsia="zh-CN" w:bidi="en-US"/>
        </w:rPr>
        <w:t>b</w:t>
      </w:r>
      <w:bookmarkEnd w:id="90"/>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产品合格证明；</w:t>
      </w:r>
    </w:p>
    <w:p w14:paraId="1E8BB852">
      <w:pPr>
        <w:pStyle w:val="144"/>
        <w:tabs>
          <w:tab w:val="left" w:pos="769"/>
        </w:tabs>
        <w:spacing w:line="326" w:lineRule="exact"/>
        <w:ind w:firstLine="360"/>
        <w:jc w:val="left"/>
        <w:rPr>
          <w:sz w:val="21"/>
          <w:szCs w:val="21"/>
        </w:rPr>
      </w:pPr>
      <w:bookmarkStart w:id="91" w:name="bookmark350"/>
      <w:r>
        <w:rPr>
          <w:rFonts w:ascii="Times New Roman" w:hAnsi="Times New Roman" w:eastAsia="Times New Roman" w:cs="Times New Roman"/>
          <w:color w:val="000000"/>
          <w:sz w:val="21"/>
          <w:szCs w:val="21"/>
          <w:lang w:val="en-US" w:eastAsia="zh-CN" w:bidi="en-US"/>
        </w:rPr>
        <w:t>c</w:t>
      </w:r>
      <w:bookmarkEnd w:id="91"/>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产品安装使用说明；</w:t>
      </w:r>
    </w:p>
    <w:p w14:paraId="3F51963A">
      <w:pPr>
        <w:pStyle w:val="144"/>
        <w:tabs>
          <w:tab w:val="left" w:pos="769"/>
        </w:tabs>
        <w:spacing w:after="220" w:line="326" w:lineRule="exact"/>
        <w:ind w:firstLine="360"/>
        <w:jc w:val="left"/>
        <w:rPr>
          <w:sz w:val="21"/>
          <w:szCs w:val="21"/>
        </w:rPr>
      </w:pPr>
      <w:bookmarkStart w:id="92" w:name="bookmark351"/>
      <w:r>
        <w:rPr>
          <w:rFonts w:ascii="Times New Roman" w:hAnsi="Times New Roman" w:eastAsia="Times New Roman" w:cs="Times New Roman"/>
          <w:color w:val="000000"/>
          <w:sz w:val="21"/>
          <w:szCs w:val="21"/>
          <w:lang w:val="en-US" w:eastAsia="zh-CN" w:bidi="en-US"/>
        </w:rPr>
        <w:t>d</w:t>
      </w:r>
      <w:bookmarkEnd w:id="92"/>
      <w:r>
        <w:rPr>
          <w:rFonts w:ascii="Times New Roman" w:hAnsi="Times New Roman" w:eastAsia="Times New Roman" w:cs="Times New Roman"/>
          <w:color w:val="000000"/>
          <w:sz w:val="21"/>
          <w:szCs w:val="21"/>
          <w:lang w:val="en-US" w:eastAsia="zh-CN" w:bidi="en-US"/>
        </w:rPr>
        <w:t>）</w:t>
      </w:r>
      <w:r>
        <w:rPr>
          <w:rFonts w:ascii="Times New Roman" w:hAnsi="Times New Roman" w:eastAsia="Times New Roman" w:cs="Times New Roman"/>
          <w:color w:val="000000"/>
          <w:sz w:val="21"/>
          <w:szCs w:val="21"/>
          <w:lang w:val="en-US" w:eastAsia="zh-CN" w:bidi="en-US"/>
        </w:rPr>
        <w:tab/>
      </w:r>
      <w:r>
        <w:rPr>
          <w:color w:val="000000"/>
          <w:sz w:val="21"/>
          <w:szCs w:val="21"/>
        </w:rPr>
        <w:t>产品成套及备件一览表。</w:t>
      </w:r>
    </w:p>
    <w:p w14:paraId="39AB7DA3">
      <w:pPr>
        <w:pStyle w:val="45"/>
        <w:numPr>
          <w:ilvl w:val="1"/>
          <w:numId w:val="2"/>
        </w:numPr>
        <w:adjustRightInd w:val="0"/>
        <w:snapToGrid w:val="0"/>
        <w:spacing w:before="156" w:beforeLines="50" w:after="156" w:afterLines="50"/>
        <w:ind w:left="0"/>
        <w:outlineLvl w:val="2"/>
      </w:pPr>
      <w:bookmarkStart w:id="93" w:name="_Toc123130275"/>
      <w:r>
        <w:rPr>
          <w:rFonts w:hint="eastAsia"/>
        </w:rPr>
        <w:t>贮存</w:t>
      </w:r>
      <w:r>
        <w:t>和运输</w:t>
      </w:r>
      <w:bookmarkEnd w:id="93"/>
    </w:p>
    <w:p w14:paraId="298006C8">
      <w:pPr>
        <w:pStyle w:val="144"/>
        <w:spacing w:after="220" w:line="326" w:lineRule="exact"/>
        <w:ind w:firstLine="360"/>
        <w:jc w:val="left"/>
        <w:rPr>
          <w:sz w:val="21"/>
          <w:szCs w:val="21"/>
        </w:rPr>
      </w:pPr>
      <w:r>
        <w:rPr>
          <w:rFonts w:hint="eastAsia"/>
          <w:color w:val="000000"/>
          <w:sz w:val="21"/>
          <w:szCs w:val="21"/>
        </w:rPr>
        <w:t>产品在</w:t>
      </w:r>
      <w:r>
        <w:rPr>
          <w:color w:val="000000"/>
          <w:sz w:val="21"/>
          <w:szCs w:val="21"/>
        </w:rPr>
        <w:t>运输过程中不应有剧烈振动、冲击</w:t>
      </w:r>
      <w:r>
        <w:rPr>
          <w:rFonts w:hint="eastAsia"/>
          <w:color w:val="000000"/>
          <w:sz w:val="21"/>
          <w:szCs w:val="21"/>
          <w:lang w:eastAsia="zh-CN"/>
        </w:rPr>
        <w:t>，</w:t>
      </w:r>
      <w:r>
        <w:rPr>
          <w:color w:val="000000"/>
          <w:sz w:val="21"/>
          <w:szCs w:val="21"/>
        </w:rPr>
        <w:t>产品不应倾斜或倒置。</w:t>
      </w:r>
    </w:p>
    <w:p w14:paraId="7499DB4B">
      <w:pPr>
        <w:pStyle w:val="45"/>
        <w:numPr>
          <w:ilvl w:val="1"/>
          <w:numId w:val="2"/>
        </w:numPr>
        <w:adjustRightInd w:val="0"/>
        <w:snapToGrid w:val="0"/>
        <w:spacing w:before="156" w:beforeLines="50" w:after="156" w:afterLines="50"/>
        <w:ind w:left="0"/>
        <w:outlineLvl w:val="2"/>
      </w:pPr>
      <w:bookmarkStart w:id="94" w:name="_Toc123130276"/>
      <w:r>
        <w:t>贮存</w:t>
      </w:r>
      <w:bookmarkEnd w:id="94"/>
    </w:p>
    <w:p w14:paraId="7ED0137F">
      <w:pPr>
        <w:pStyle w:val="144"/>
        <w:spacing w:after="120" w:line="326" w:lineRule="exact"/>
        <w:ind w:firstLine="400"/>
        <w:jc w:val="left"/>
        <w:rPr>
          <w:rFonts w:eastAsia="PMingLiU"/>
        </w:rPr>
      </w:pPr>
      <w:r>
        <w:rPr>
          <w:color w:val="000000"/>
          <w:sz w:val="21"/>
          <w:szCs w:val="21"/>
        </w:rPr>
        <w:t>在贮存保管期间</w:t>
      </w:r>
      <w:r>
        <w:rPr>
          <w:rFonts w:hint="eastAsia"/>
          <w:color w:val="000000"/>
          <w:sz w:val="21"/>
          <w:szCs w:val="21"/>
          <w:lang w:eastAsia="zh-CN"/>
        </w:rPr>
        <w:t>，</w:t>
      </w:r>
      <w:r>
        <w:rPr>
          <w:color w:val="000000"/>
          <w:sz w:val="21"/>
          <w:szCs w:val="21"/>
        </w:rPr>
        <w:t>产品应放置在空气流通、无腐蚀性气体的仓库中</w:t>
      </w:r>
      <w:r>
        <w:rPr>
          <w:rFonts w:hint="eastAsia"/>
          <w:color w:val="000000"/>
          <w:sz w:val="21"/>
          <w:szCs w:val="21"/>
          <w:lang w:eastAsia="zh-CN"/>
        </w:rPr>
        <w:t>，</w:t>
      </w:r>
      <w:r>
        <w:rPr>
          <w:color w:val="000000"/>
          <w:sz w:val="21"/>
          <w:szCs w:val="21"/>
        </w:rPr>
        <w:t>贮存温度符合</w:t>
      </w:r>
      <w:r>
        <w:rPr>
          <w:rFonts w:hint="eastAsia" w:ascii="Times New Roman" w:hAnsi="Times New Roman" w:cs="Times New Roman"/>
          <w:color w:val="000000"/>
          <w:sz w:val="21"/>
          <w:szCs w:val="21"/>
          <w:lang w:val="en-US" w:eastAsia="zh-CN" w:bidi="en-US"/>
        </w:rPr>
        <w:t>本标准</w:t>
      </w:r>
      <w:r>
        <w:rPr>
          <w:color w:val="000000"/>
          <w:sz w:val="21"/>
          <w:szCs w:val="21"/>
        </w:rPr>
        <w:t>规定，不应淋雨、暴晒</w:t>
      </w:r>
      <w:r>
        <w:rPr>
          <w:rFonts w:hint="eastAsia"/>
          <w:color w:val="000000"/>
          <w:sz w:val="21"/>
          <w:szCs w:val="21"/>
          <w:lang w:eastAsia="zh-CN"/>
        </w:rPr>
        <w:t>，</w:t>
      </w:r>
      <w:r>
        <w:rPr>
          <w:color w:val="000000"/>
          <w:sz w:val="21"/>
          <w:szCs w:val="21"/>
        </w:rPr>
        <w:t>避免出现凝露和霜冻。如果附带有水冷却设备，应排岀试验时残留的冷却水。</w:t>
      </w:r>
    </w:p>
    <w:p w14:paraId="2A2CD87C">
      <w:pPr>
        <w:pStyle w:val="23"/>
        <w:rPr>
          <w:rFonts w:hAnsi="宋体" w:cs="宋体"/>
        </w:rPr>
      </w:pPr>
    </w:p>
    <w:p w14:paraId="1E9FFA3A">
      <w:pPr>
        <w:pStyle w:val="23"/>
        <w:rPr>
          <w:rFonts w:hAnsi="宋体" w:cs="宋体"/>
        </w:rPr>
      </w:pPr>
    </w:p>
    <w:p w14:paraId="64A387E2">
      <w:pPr>
        <w:pStyle w:val="23"/>
        <w:rPr>
          <w:rFonts w:hAnsi="宋体" w:cs="宋体"/>
        </w:rPr>
      </w:pPr>
    </w:p>
    <w:p w14:paraId="5A26683B">
      <w:pPr>
        <w:pStyle w:val="129"/>
        <w:framePr w:wrap="around"/>
        <w:rPr>
          <w:rFonts w:ascii="宋体" w:hAnsi="宋体" w:cs="宋体"/>
        </w:rPr>
      </w:pPr>
      <w:r>
        <w:rPr>
          <w:rFonts w:hint="eastAsia" w:ascii="宋体" w:hAnsi="宋体" w:cs="宋体"/>
        </w:rPr>
        <w:t>_________________________________</w:t>
      </w:r>
    </w:p>
    <w:sectPr>
      <w:headerReference r:id="rId8" w:type="default"/>
      <w:footerReference r:id="rId9"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5652">
    <w:pPr>
      <w:pStyle w:val="43"/>
    </w:pPr>
    <w:r>
      <w:fldChar w:fldCharType="begin"/>
    </w:r>
    <w:r>
      <w:instrText xml:space="preserve"> PAGE  \* MERGEFORMAT </w:instrText>
    </w:r>
    <w:r>
      <w:fldChar w:fldCharType="separate"/>
    </w:r>
    <w: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04D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35C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A80A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0D2F">
    <w:pPr>
      <w:pStyle w:val="18"/>
      <w:pBdr>
        <w:bottom w:val="none" w:color="auto" w:sz="0" w:space="0"/>
      </w:pBdr>
      <w:jc w:val="right"/>
      <w:rPr>
        <w:rFonts w:hint="eastAsia" w:ascii="黑体" w:hAnsi="黑体" w:eastAsia="黑体"/>
        <w:lang w:eastAsia="zh-CN"/>
      </w:rPr>
    </w:pPr>
    <w:r>
      <w:rPr>
        <w:rFonts w:hint="eastAsia" w:ascii="黑体" w:hAnsi="黑体" w:eastAsia="黑体"/>
      </w:rPr>
      <w:t>T/GSEE</w:t>
    </w:r>
    <w:r>
      <w:rPr>
        <w:rFonts w:ascii="黑体" w:hAnsi="黑体" w:eastAsia="黑体"/>
      </w:rPr>
      <w:t xml:space="preserve"> ××××—202</w:t>
    </w:r>
    <w:r>
      <w:rPr>
        <w:rFonts w:hint="eastAsia" w:ascii="黑体" w:hAnsi="黑体" w:eastAsia="黑体"/>
        <w:lang w:val="en-US" w:eastAsia="zh-CN"/>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EC8E">
    <w:pPr>
      <w:pStyle w:val="18"/>
      <w:pBdr>
        <w:bottom w:val="none" w:color="auto" w:sz="0" w:space="0"/>
      </w:pBdr>
      <w:jc w:val="right"/>
      <w:rPr>
        <w:rFonts w:hint="eastAsia" w:ascii="黑体" w:hAnsi="黑体" w:eastAsia="黑体"/>
        <w:lang w:val="en-US" w:eastAsia="zh-CN"/>
      </w:rPr>
    </w:pPr>
    <w:r>
      <w:rPr>
        <w:rFonts w:hint="eastAsia" w:ascii="黑体" w:hAnsi="黑体" w:eastAsia="黑体"/>
      </w:rPr>
      <w:t>T/GSEE</w:t>
    </w:r>
    <w:r>
      <w:rPr>
        <w:rFonts w:ascii="黑体" w:hAnsi="黑体" w:eastAsia="黑体"/>
      </w:rPr>
      <w:t xml:space="preserve"> ××××—202</w:t>
    </w:r>
    <w:r>
      <w:rPr>
        <w:rFonts w:hint="eastAsia" w:ascii="黑体" w:hAnsi="黑体" w:eastAsia="黑体"/>
        <w:lang w:val="en-US" w:eastAsia="zh-CN"/>
      </w:rPr>
      <w:t>3</w:t>
    </w:r>
  </w:p>
  <w:p w14:paraId="1D541CDC">
    <w:pPr>
      <w:pStyle w:val="18"/>
      <w:pBdr>
        <w:bottom w:val="none" w:color="auto" w:sz="0" w:space="0"/>
      </w:pBdr>
      <w:jc w:val="left"/>
      <w:rPr>
        <w:rFonts w:hint="eastAsia" w:ascii="黑体" w:hAnsi="黑体" w:eastAsia="黑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E490">
    <w:pPr>
      <w:pStyle w:val="18"/>
      <w:pBdr>
        <w:bottom w:val="none" w:color="auto" w:sz="0" w:space="0"/>
      </w:pBdr>
      <w:jc w:val="left"/>
      <w:rPr>
        <w:rFonts w:hint="eastAsia" w:ascii="黑体" w:hAnsi="黑体" w:eastAsia="黑体"/>
        <w:lang w:val="en-US" w:eastAsia="zh-CN"/>
      </w:rPr>
    </w:pPr>
    <w:r>
      <w:rPr>
        <w:rFonts w:hint="eastAsia" w:ascii="黑体" w:hAnsi="黑体" w:eastAsia="黑体"/>
      </w:rPr>
      <w:t>T/GSEE</w:t>
    </w:r>
    <w:r>
      <w:rPr>
        <w:rFonts w:ascii="黑体" w:hAnsi="黑体" w:eastAsia="黑体"/>
      </w:rPr>
      <w:t xml:space="preserve"> ××××—202</w:t>
    </w:r>
    <w:r>
      <w:rPr>
        <w:rFonts w:hint="eastAsia" w:ascii="黑体" w:hAnsi="黑体" w:eastAsia="黑体"/>
        <w:lang w:val="en-US" w:eastAsia="zh-CN"/>
      </w:rPr>
      <w:t>3</w:t>
    </w:r>
  </w:p>
  <w:p w14:paraId="08010710">
    <w:pPr>
      <w:pStyle w:val="18"/>
      <w:pBdr>
        <w:bottom w:val="none" w:color="auto" w:sz="0" w:space="0"/>
      </w:pBdr>
      <w:jc w:val="right"/>
      <w:rPr>
        <w:rFonts w:hint="eastAsia" w:ascii="黑体" w:hAnsi="黑体" w:eastAsia="黑体"/>
        <w:lang w:val="en-US" w:eastAsia="zh-CN"/>
      </w:rPr>
    </w:pPr>
  </w:p>
  <w:p w14:paraId="2DA994E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3E90CCB"/>
    <w:multiLevelType w:val="multilevel"/>
    <w:tmpl w:val="13E90CCB"/>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1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lowerLetter"/>
      <w:lvlText w:val="%3)"/>
      <w:lvlJc w:val="left"/>
      <w:pPr>
        <w:ind w:left="210"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1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21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6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20F62E9"/>
    <w:multiLevelType w:val="multilevel"/>
    <w:tmpl w:val="520F62E9"/>
    <w:lvl w:ilvl="0" w:tentative="0">
      <w:start w:val="1"/>
      <w:numFmt w:val="decimal"/>
      <w:pStyle w:val="128"/>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26"/>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6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7"/>
  </w:num>
  <w:num w:numId="4">
    <w:abstractNumId w:val="13"/>
  </w:num>
  <w:num w:numId="5">
    <w:abstractNumId w:val="9"/>
  </w:num>
  <w:num w:numId="6">
    <w:abstractNumId w:val="1"/>
  </w:num>
  <w:num w:numId="7">
    <w:abstractNumId w:val="11"/>
  </w:num>
  <w:num w:numId="8">
    <w:abstractNumId w:val="16"/>
  </w:num>
  <w:num w:numId="9">
    <w:abstractNumId w:val="5"/>
  </w:num>
  <w:num w:numId="10">
    <w:abstractNumId w:val="0"/>
  </w:num>
  <w:num w:numId="11">
    <w:abstractNumId w:val="15"/>
  </w:num>
  <w:num w:numId="12">
    <w:abstractNumId w:val="12"/>
  </w:num>
  <w:num w:numId="13">
    <w:abstractNumId w:val="17"/>
  </w:num>
  <w:num w:numId="14">
    <w:abstractNumId w:val="6"/>
  </w:num>
  <w:num w:numId="15">
    <w:abstractNumId w:val="4"/>
  </w:num>
  <w:num w:numId="16">
    <w:abstractNumId w:val="1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425"/>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NGFlN2ExMTg4Yzc5NjdhZjVkZDFlOTA3N2VkZmQifQ=="/>
  </w:docVars>
  <w:rsids>
    <w:rsidRoot w:val="00172A27"/>
    <w:rsid w:val="00000244"/>
    <w:rsid w:val="00000BB3"/>
    <w:rsid w:val="0000185F"/>
    <w:rsid w:val="00004B91"/>
    <w:rsid w:val="00004E32"/>
    <w:rsid w:val="0000586F"/>
    <w:rsid w:val="00007A00"/>
    <w:rsid w:val="00013D86"/>
    <w:rsid w:val="00013E02"/>
    <w:rsid w:val="0002143C"/>
    <w:rsid w:val="000222CD"/>
    <w:rsid w:val="00022E34"/>
    <w:rsid w:val="00025A65"/>
    <w:rsid w:val="00026C31"/>
    <w:rsid w:val="00027280"/>
    <w:rsid w:val="000320A7"/>
    <w:rsid w:val="000325EA"/>
    <w:rsid w:val="00032E0A"/>
    <w:rsid w:val="00034D2D"/>
    <w:rsid w:val="00035925"/>
    <w:rsid w:val="00036C2C"/>
    <w:rsid w:val="00045A7C"/>
    <w:rsid w:val="00055371"/>
    <w:rsid w:val="00056A24"/>
    <w:rsid w:val="00057CE5"/>
    <w:rsid w:val="000607A3"/>
    <w:rsid w:val="00061726"/>
    <w:rsid w:val="000657F7"/>
    <w:rsid w:val="00067879"/>
    <w:rsid w:val="00067CDF"/>
    <w:rsid w:val="00070765"/>
    <w:rsid w:val="000709E3"/>
    <w:rsid w:val="00070B6A"/>
    <w:rsid w:val="00074FBE"/>
    <w:rsid w:val="0007762A"/>
    <w:rsid w:val="00081F6E"/>
    <w:rsid w:val="00083A09"/>
    <w:rsid w:val="0009005E"/>
    <w:rsid w:val="000918A9"/>
    <w:rsid w:val="00092001"/>
    <w:rsid w:val="00092618"/>
    <w:rsid w:val="00092857"/>
    <w:rsid w:val="00092BD8"/>
    <w:rsid w:val="000930CD"/>
    <w:rsid w:val="00096458"/>
    <w:rsid w:val="000964C7"/>
    <w:rsid w:val="000979D9"/>
    <w:rsid w:val="000A20A9"/>
    <w:rsid w:val="000A48B1"/>
    <w:rsid w:val="000B2C50"/>
    <w:rsid w:val="000B2F0E"/>
    <w:rsid w:val="000B3143"/>
    <w:rsid w:val="000B405D"/>
    <w:rsid w:val="000B4708"/>
    <w:rsid w:val="000B51DD"/>
    <w:rsid w:val="000C2BE6"/>
    <w:rsid w:val="000C628F"/>
    <w:rsid w:val="000C6B05"/>
    <w:rsid w:val="000C6DD6"/>
    <w:rsid w:val="000C73D4"/>
    <w:rsid w:val="000D3D4C"/>
    <w:rsid w:val="000D484C"/>
    <w:rsid w:val="000D4F51"/>
    <w:rsid w:val="000D718B"/>
    <w:rsid w:val="000E0C46"/>
    <w:rsid w:val="000E15EE"/>
    <w:rsid w:val="000E3676"/>
    <w:rsid w:val="000F030C"/>
    <w:rsid w:val="000F129C"/>
    <w:rsid w:val="000F174F"/>
    <w:rsid w:val="000F66F3"/>
    <w:rsid w:val="00103BDC"/>
    <w:rsid w:val="00104E29"/>
    <w:rsid w:val="00105385"/>
    <w:rsid w:val="001056DE"/>
    <w:rsid w:val="001124C0"/>
    <w:rsid w:val="0011484E"/>
    <w:rsid w:val="00116ED3"/>
    <w:rsid w:val="00117A25"/>
    <w:rsid w:val="00121293"/>
    <w:rsid w:val="0013175F"/>
    <w:rsid w:val="0013364D"/>
    <w:rsid w:val="001343BB"/>
    <w:rsid w:val="00140F58"/>
    <w:rsid w:val="001418A6"/>
    <w:rsid w:val="0014550B"/>
    <w:rsid w:val="00146EE1"/>
    <w:rsid w:val="001470A6"/>
    <w:rsid w:val="001512B4"/>
    <w:rsid w:val="00153A26"/>
    <w:rsid w:val="001620A5"/>
    <w:rsid w:val="00164E53"/>
    <w:rsid w:val="00165D35"/>
    <w:rsid w:val="0016605B"/>
    <w:rsid w:val="0016699D"/>
    <w:rsid w:val="001670D9"/>
    <w:rsid w:val="00175159"/>
    <w:rsid w:val="00175AD7"/>
    <w:rsid w:val="00176208"/>
    <w:rsid w:val="0017780C"/>
    <w:rsid w:val="001813B2"/>
    <w:rsid w:val="0018211B"/>
    <w:rsid w:val="00183FE1"/>
    <w:rsid w:val="001840D3"/>
    <w:rsid w:val="00184782"/>
    <w:rsid w:val="00185FB5"/>
    <w:rsid w:val="00187A8A"/>
    <w:rsid w:val="001900F8"/>
    <w:rsid w:val="00191258"/>
    <w:rsid w:val="00192680"/>
    <w:rsid w:val="00193037"/>
    <w:rsid w:val="00193375"/>
    <w:rsid w:val="00193A2C"/>
    <w:rsid w:val="00194704"/>
    <w:rsid w:val="001A1A1F"/>
    <w:rsid w:val="001A288E"/>
    <w:rsid w:val="001B36ED"/>
    <w:rsid w:val="001B3D3A"/>
    <w:rsid w:val="001B6DC2"/>
    <w:rsid w:val="001B754B"/>
    <w:rsid w:val="001C149C"/>
    <w:rsid w:val="001C21AC"/>
    <w:rsid w:val="001C3689"/>
    <w:rsid w:val="001C47BA"/>
    <w:rsid w:val="001C59EA"/>
    <w:rsid w:val="001C7B11"/>
    <w:rsid w:val="001D3556"/>
    <w:rsid w:val="001D406C"/>
    <w:rsid w:val="001D41EE"/>
    <w:rsid w:val="001D4BEB"/>
    <w:rsid w:val="001D5390"/>
    <w:rsid w:val="001D71E6"/>
    <w:rsid w:val="001E0380"/>
    <w:rsid w:val="001E0B1B"/>
    <w:rsid w:val="001E13B1"/>
    <w:rsid w:val="001E2153"/>
    <w:rsid w:val="001E5AB9"/>
    <w:rsid w:val="001F3A19"/>
    <w:rsid w:val="002009E4"/>
    <w:rsid w:val="00201053"/>
    <w:rsid w:val="0020251B"/>
    <w:rsid w:val="0020498B"/>
    <w:rsid w:val="002073D3"/>
    <w:rsid w:val="00207852"/>
    <w:rsid w:val="00212EBD"/>
    <w:rsid w:val="00212FCA"/>
    <w:rsid w:val="00215D48"/>
    <w:rsid w:val="0021624B"/>
    <w:rsid w:val="00220D18"/>
    <w:rsid w:val="0022185E"/>
    <w:rsid w:val="00221B26"/>
    <w:rsid w:val="00227FED"/>
    <w:rsid w:val="0023030A"/>
    <w:rsid w:val="00230F08"/>
    <w:rsid w:val="00233109"/>
    <w:rsid w:val="00234467"/>
    <w:rsid w:val="00235BE6"/>
    <w:rsid w:val="00237D8D"/>
    <w:rsid w:val="00241DA2"/>
    <w:rsid w:val="00244C9D"/>
    <w:rsid w:val="00247FEE"/>
    <w:rsid w:val="00250B14"/>
    <w:rsid w:val="00250E7D"/>
    <w:rsid w:val="002523DB"/>
    <w:rsid w:val="002527DD"/>
    <w:rsid w:val="00252DAA"/>
    <w:rsid w:val="002565D5"/>
    <w:rsid w:val="002622C0"/>
    <w:rsid w:val="002731C6"/>
    <w:rsid w:val="00275D08"/>
    <w:rsid w:val="002775A0"/>
    <w:rsid w:val="002778AE"/>
    <w:rsid w:val="0028269A"/>
    <w:rsid w:val="00283143"/>
    <w:rsid w:val="00283590"/>
    <w:rsid w:val="00286973"/>
    <w:rsid w:val="00287674"/>
    <w:rsid w:val="002938A4"/>
    <w:rsid w:val="00294E70"/>
    <w:rsid w:val="002954B8"/>
    <w:rsid w:val="002967B2"/>
    <w:rsid w:val="002A0518"/>
    <w:rsid w:val="002A1924"/>
    <w:rsid w:val="002A46C5"/>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2F5F9E"/>
    <w:rsid w:val="00301F39"/>
    <w:rsid w:val="003025CF"/>
    <w:rsid w:val="00303D27"/>
    <w:rsid w:val="00305BEE"/>
    <w:rsid w:val="00307438"/>
    <w:rsid w:val="00313962"/>
    <w:rsid w:val="003228B1"/>
    <w:rsid w:val="003234E0"/>
    <w:rsid w:val="00323EAE"/>
    <w:rsid w:val="00325926"/>
    <w:rsid w:val="00327A8A"/>
    <w:rsid w:val="003339A3"/>
    <w:rsid w:val="00336610"/>
    <w:rsid w:val="00341F5C"/>
    <w:rsid w:val="00343194"/>
    <w:rsid w:val="003435C6"/>
    <w:rsid w:val="00343D23"/>
    <w:rsid w:val="00343F73"/>
    <w:rsid w:val="0034458D"/>
    <w:rsid w:val="00345060"/>
    <w:rsid w:val="003451FB"/>
    <w:rsid w:val="00352629"/>
    <w:rsid w:val="0035323B"/>
    <w:rsid w:val="00353D19"/>
    <w:rsid w:val="0035785A"/>
    <w:rsid w:val="003609D2"/>
    <w:rsid w:val="00363F22"/>
    <w:rsid w:val="00364940"/>
    <w:rsid w:val="003672A5"/>
    <w:rsid w:val="00374E73"/>
    <w:rsid w:val="00375346"/>
    <w:rsid w:val="00375564"/>
    <w:rsid w:val="00376489"/>
    <w:rsid w:val="00377824"/>
    <w:rsid w:val="003818A4"/>
    <w:rsid w:val="00383191"/>
    <w:rsid w:val="00386DED"/>
    <w:rsid w:val="003912E7"/>
    <w:rsid w:val="00393947"/>
    <w:rsid w:val="00395141"/>
    <w:rsid w:val="003A0E27"/>
    <w:rsid w:val="003A14AD"/>
    <w:rsid w:val="003A2275"/>
    <w:rsid w:val="003A2D7C"/>
    <w:rsid w:val="003A3B5A"/>
    <w:rsid w:val="003A6A4F"/>
    <w:rsid w:val="003A7088"/>
    <w:rsid w:val="003B00DF"/>
    <w:rsid w:val="003B1275"/>
    <w:rsid w:val="003B1778"/>
    <w:rsid w:val="003C05FC"/>
    <w:rsid w:val="003C11CB"/>
    <w:rsid w:val="003C3017"/>
    <w:rsid w:val="003C5C68"/>
    <w:rsid w:val="003C6A77"/>
    <w:rsid w:val="003C75F3"/>
    <w:rsid w:val="003C7603"/>
    <w:rsid w:val="003C78A3"/>
    <w:rsid w:val="003D0EC8"/>
    <w:rsid w:val="003D36AB"/>
    <w:rsid w:val="003E1867"/>
    <w:rsid w:val="003E41E5"/>
    <w:rsid w:val="003E5729"/>
    <w:rsid w:val="003E724E"/>
    <w:rsid w:val="003F1551"/>
    <w:rsid w:val="003F1D40"/>
    <w:rsid w:val="003F22BB"/>
    <w:rsid w:val="003F2A5B"/>
    <w:rsid w:val="003F4EE0"/>
    <w:rsid w:val="003F5559"/>
    <w:rsid w:val="003F6861"/>
    <w:rsid w:val="00400473"/>
    <w:rsid w:val="0040084A"/>
    <w:rsid w:val="00402153"/>
    <w:rsid w:val="004023FF"/>
    <w:rsid w:val="00402E26"/>
    <w:rsid w:val="00402FC1"/>
    <w:rsid w:val="004117C2"/>
    <w:rsid w:val="00412BAF"/>
    <w:rsid w:val="00414A6F"/>
    <w:rsid w:val="004200D9"/>
    <w:rsid w:val="00425082"/>
    <w:rsid w:val="00431DEB"/>
    <w:rsid w:val="00432970"/>
    <w:rsid w:val="0044259D"/>
    <w:rsid w:val="004439D9"/>
    <w:rsid w:val="00443FFB"/>
    <w:rsid w:val="004440C8"/>
    <w:rsid w:val="00446B29"/>
    <w:rsid w:val="004524BE"/>
    <w:rsid w:val="00452C3B"/>
    <w:rsid w:val="00453F9A"/>
    <w:rsid w:val="00454CC3"/>
    <w:rsid w:val="00462375"/>
    <w:rsid w:val="00464903"/>
    <w:rsid w:val="00464FDE"/>
    <w:rsid w:val="00471409"/>
    <w:rsid w:val="00471E91"/>
    <w:rsid w:val="00474079"/>
    <w:rsid w:val="00474675"/>
    <w:rsid w:val="0047470C"/>
    <w:rsid w:val="00484C88"/>
    <w:rsid w:val="004A203E"/>
    <w:rsid w:val="004A2F5C"/>
    <w:rsid w:val="004A35F9"/>
    <w:rsid w:val="004A4662"/>
    <w:rsid w:val="004A6CC6"/>
    <w:rsid w:val="004A7A3B"/>
    <w:rsid w:val="004A7E02"/>
    <w:rsid w:val="004B157A"/>
    <w:rsid w:val="004B24C1"/>
    <w:rsid w:val="004B3092"/>
    <w:rsid w:val="004B49B1"/>
    <w:rsid w:val="004B557C"/>
    <w:rsid w:val="004C1F14"/>
    <w:rsid w:val="004C292F"/>
    <w:rsid w:val="004C657F"/>
    <w:rsid w:val="004D306F"/>
    <w:rsid w:val="004D4B02"/>
    <w:rsid w:val="004D4F76"/>
    <w:rsid w:val="004D658D"/>
    <w:rsid w:val="004E4B13"/>
    <w:rsid w:val="004E4B8C"/>
    <w:rsid w:val="004E5A47"/>
    <w:rsid w:val="004F149E"/>
    <w:rsid w:val="004F1ED5"/>
    <w:rsid w:val="004F5955"/>
    <w:rsid w:val="00500F05"/>
    <w:rsid w:val="00503314"/>
    <w:rsid w:val="005036E2"/>
    <w:rsid w:val="00504849"/>
    <w:rsid w:val="00510280"/>
    <w:rsid w:val="00512454"/>
    <w:rsid w:val="00513D73"/>
    <w:rsid w:val="005148B3"/>
    <w:rsid w:val="00514A43"/>
    <w:rsid w:val="00514D27"/>
    <w:rsid w:val="00515E9C"/>
    <w:rsid w:val="005174E5"/>
    <w:rsid w:val="00520898"/>
    <w:rsid w:val="00522393"/>
    <w:rsid w:val="00522620"/>
    <w:rsid w:val="00525656"/>
    <w:rsid w:val="00525BF3"/>
    <w:rsid w:val="00530E6E"/>
    <w:rsid w:val="00534C02"/>
    <w:rsid w:val="0053708C"/>
    <w:rsid w:val="0054044C"/>
    <w:rsid w:val="0054264B"/>
    <w:rsid w:val="00543786"/>
    <w:rsid w:val="00545A49"/>
    <w:rsid w:val="005463CC"/>
    <w:rsid w:val="00546D0D"/>
    <w:rsid w:val="0055153A"/>
    <w:rsid w:val="005533D7"/>
    <w:rsid w:val="00554B63"/>
    <w:rsid w:val="00555F15"/>
    <w:rsid w:val="00562CF6"/>
    <w:rsid w:val="0056544B"/>
    <w:rsid w:val="005661CC"/>
    <w:rsid w:val="00567177"/>
    <w:rsid w:val="005703DE"/>
    <w:rsid w:val="00570B0A"/>
    <w:rsid w:val="005710BC"/>
    <w:rsid w:val="005755F1"/>
    <w:rsid w:val="00582BBE"/>
    <w:rsid w:val="0058464E"/>
    <w:rsid w:val="0058650E"/>
    <w:rsid w:val="00592AA8"/>
    <w:rsid w:val="005974EE"/>
    <w:rsid w:val="005A01CB"/>
    <w:rsid w:val="005A19A9"/>
    <w:rsid w:val="005A52C7"/>
    <w:rsid w:val="005A58FF"/>
    <w:rsid w:val="005A5EAF"/>
    <w:rsid w:val="005A6491"/>
    <w:rsid w:val="005A64C0"/>
    <w:rsid w:val="005B1985"/>
    <w:rsid w:val="005B3C11"/>
    <w:rsid w:val="005B57FB"/>
    <w:rsid w:val="005C1C28"/>
    <w:rsid w:val="005C38B1"/>
    <w:rsid w:val="005C43D0"/>
    <w:rsid w:val="005C6DB5"/>
    <w:rsid w:val="005D3842"/>
    <w:rsid w:val="005E19E7"/>
    <w:rsid w:val="005E2392"/>
    <w:rsid w:val="005E36C3"/>
    <w:rsid w:val="00601622"/>
    <w:rsid w:val="0060789B"/>
    <w:rsid w:val="0061037E"/>
    <w:rsid w:val="0061347C"/>
    <w:rsid w:val="00613FAA"/>
    <w:rsid w:val="00616C36"/>
    <w:rsid w:val="0061716C"/>
    <w:rsid w:val="006171AF"/>
    <w:rsid w:val="00617868"/>
    <w:rsid w:val="006243A1"/>
    <w:rsid w:val="00626005"/>
    <w:rsid w:val="00632E56"/>
    <w:rsid w:val="00635CBA"/>
    <w:rsid w:val="00636EFC"/>
    <w:rsid w:val="0064338B"/>
    <w:rsid w:val="006448C9"/>
    <w:rsid w:val="0064605A"/>
    <w:rsid w:val="00646542"/>
    <w:rsid w:val="0064674F"/>
    <w:rsid w:val="006504F4"/>
    <w:rsid w:val="0065366F"/>
    <w:rsid w:val="00654BC9"/>
    <w:rsid w:val="006552FD"/>
    <w:rsid w:val="00656F0B"/>
    <w:rsid w:val="00663442"/>
    <w:rsid w:val="00663733"/>
    <w:rsid w:val="00663AF3"/>
    <w:rsid w:val="00666B6C"/>
    <w:rsid w:val="006715F5"/>
    <w:rsid w:val="0067461E"/>
    <w:rsid w:val="0067506C"/>
    <w:rsid w:val="00677B54"/>
    <w:rsid w:val="00681A72"/>
    <w:rsid w:val="00682682"/>
    <w:rsid w:val="00682702"/>
    <w:rsid w:val="00687FC9"/>
    <w:rsid w:val="00692368"/>
    <w:rsid w:val="00693C2E"/>
    <w:rsid w:val="00695192"/>
    <w:rsid w:val="006A2EBC"/>
    <w:rsid w:val="006A5EA0"/>
    <w:rsid w:val="006A783B"/>
    <w:rsid w:val="006A7B33"/>
    <w:rsid w:val="006B497F"/>
    <w:rsid w:val="006B4E13"/>
    <w:rsid w:val="006B6A25"/>
    <w:rsid w:val="006B75DD"/>
    <w:rsid w:val="006C047C"/>
    <w:rsid w:val="006C3D8B"/>
    <w:rsid w:val="006C67E0"/>
    <w:rsid w:val="006C7ABA"/>
    <w:rsid w:val="006D0260"/>
    <w:rsid w:val="006D0A13"/>
    <w:rsid w:val="006D0D60"/>
    <w:rsid w:val="006D1122"/>
    <w:rsid w:val="006D317E"/>
    <w:rsid w:val="006D3B1E"/>
    <w:rsid w:val="006D3C00"/>
    <w:rsid w:val="006D748D"/>
    <w:rsid w:val="006E06AD"/>
    <w:rsid w:val="006E13C3"/>
    <w:rsid w:val="006E3675"/>
    <w:rsid w:val="006E4A7F"/>
    <w:rsid w:val="006F0967"/>
    <w:rsid w:val="006F2274"/>
    <w:rsid w:val="006F64A0"/>
    <w:rsid w:val="0070038F"/>
    <w:rsid w:val="007027B1"/>
    <w:rsid w:val="0070286C"/>
    <w:rsid w:val="007039DD"/>
    <w:rsid w:val="00704B25"/>
    <w:rsid w:val="00704DF6"/>
    <w:rsid w:val="0070641D"/>
    <w:rsid w:val="0070651C"/>
    <w:rsid w:val="007132A3"/>
    <w:rsid w:val="00716421"/>
    <w:rsid w:val="00716923"/>
    <w:rsid w:val="0071775C"/>
    <w:rsid w:val="00721419"/>
    <w:rsid w:val="00724EFB"/>
    <w:rsid w:val="00726575"/>
    <w:rsid w:val="00730310"/>
    <w:rsid w:val="007367B5"/>
    <w:rsid w:val="00740A49"/>
    <w:rsid w:val="007419C3"/>
    <w:rsid w:val="007446A8"/>
    <w:rsid w:val="00746559"/>
    <w:rsid w:val="007467A7"/>
    <w:rsid w:val="007469DD"/>
    <w:rsid w:val="0074741B"/>
    <w:rsid w:val="0074759E"/>
    <w:rsid w:val="007478EA"/>
    <w:rsid w:val="0075415C"/>
    <w:rsid w:val="0075637C"/>
    <w:rsid w:val="00757097"/>
    <w:rsid w:val="00757879"/>
    <w:rsid w:val="007606CB"/>
    <w:rsid w:val="00761E8B"/>
    <w:rsid w:val="00763502"/>
    <w:rsid w:val="0078027E"/>
    <w:rsid w:val="00780DE2"/>
    <w:rsid w:val="007913AB"/>
    <w:rsid w:val="007914F7"/>
    <w:rsid w:val="00795C73"/>
    <w:rsid w:val="007A2BDB"/>
    <w:rsid w:val="007A3680"/>
    <w:rsid w:val="007A4809"/>
    <w:rsid w:val="007A6245"/>
    <w:rsid w:val="007B1625"/>
    <w:rsid w:val="007B6BE1"/>
    <w:rsid w:val="007B706E"/>
    <w:rsid w:val="007B71EB"/>
    <w:rsid w:val="007C048E"/>
    <w:rsid w:val="007C0748"/>
    <w:rsid w:val="007C4AC3"/>
    <w:rsid w:val="007C6205"/>
    <w:rsid w:val="007C686A"/>
    <w:rsid w:val="007C728E"/>
    <w:rsid w:val="007D0BE0"/>
    <w:rsid w:val="007D204F"/>
    <w:rsid w:val="007D2C53"/>
    <w:rsid w:val="007D30F2"/>
    <w:rsid w:val="007D3507"/>
    <w:rsid w:val="007D3D60"/>
    <w:rsid w:val="007D682B"/>
    <w:rsid w:val="007E1980"/>
    <w:rsid w:val="007E22FF"/>
    <w:rsid w:val="007E2644"/>
    <w:rsid w:val="007E450D"/>
    <w:rsid w:val="007E4B76"/>
    <w:rsid w:val="007E5043"/>
    <w:rsid w:val="007E5EA8"/>
    <w:rsid w:val="007E7168"/>
    <w:rsid w:val="007F0CF1"/>
    <w:rsid w:val="007F12A5"/>
    <w:rsid w:val="007F2D74"/>
    <w:rsid w:val="007F3FB7"/>
    <w:rsid w:val="007F4CF1"/>
    <w:rsid w:val="007F58D3"/>
    <w:rsid w:val="007F758D"/>
    <w:rsid w:val="007F7D52"/>
    <w:rsid w:val="00800B4D"/>
    <w:rsid w:val="00802D2A"/>
    <w:rsid w:val="0080484A"/>
    <w:rsid w:val="00805589"/>
    <w:rsid w:val="008057A5"/>
    <w:rsid w:val="00805E2F"/>
    <w:rsid w:val="0080654C"/>
    <w:rsid w:val="008071C6"/>
    <w:rsid w:val="00815A84"/>
    <w:rsid w:val="00817A00"/>
    <w:rsid w:val="00820B95"/>
    <w:rsid w:val="00825891"/>
    <w:rsid w:val="00826C97"/>
    <w:rsid w:val="00831631"/>
    <w:rsid w:val="0083228D"/>
    <w:rsid w:val="00833D07"/>
    <w:rsid w:val="00835DB3"/>
    <w:rsid w:val="0083617B"/>
    <w:rsid w:val="00836342"/>
    <w:rsid w:val="00836A2D"/>
    <w:rsid w:val="008371BD"/>
    <w:rsid w:val="00840EBF"/>
    <w:rsid w:val="0084405C"/>
    <w:rsid w:val="00845BC8"/>
    <w:rsid w:val="00845F0F"/>
    <w:rsid w:val="008478CC"/>
    <w:rsid w:val="008504A8"/>
    <w:rsid w:val="008504EF"/>
    <w:rsid w:val="00851B58"/>
    <w:rsid w:val="0085282E"/>
    <w:rsid w:val="008531CA"/>
    <w:rsid w:val="00854101"/>
    <w:rsid w:val="0087198C"/>
    <w:rsid w:val="00872C1F"/>
    <w:rsid w:val="00873B42"/>
    <w:rsid w:val="00875D43"/>
    <w:rsid w:val="00877CB0"/>
    <w:rsid w:val="008805AC"/>
    <w:rsid w:val="00880D1A"/>
    <w:rsid w:val="00884468"/>
    <w:rsid w:val="008856D8"/>
    <w:rsid w:val="008878D1"/>
    <w:rsid w:val="008921E1"/>
    <w:rsid w:val="00892E82"/>
    <w:rsid w:val="00893277"/>
    <w:rsid w:val="008943AB"/>
    <w:rsid w:val="00895CF0"/>
    <w:rsid w:val="00895FA9"/>
    <w:rsid w:val="008A1035"/>
    <w:rsid w:val="008A6E08"/>
    <w:rsid w:val="008A7A24"/>
    <w:rsid w:val="008C0BE9"/>
    <w:rsid w:val="008C1B58"/>
    <w:rsid w:val="008C39AE"/>
    <w:rsid w:val="008C40DF"/>
    <w:rsid w:val="008C4734"/>
    <w:rsid w:val="008C590D"/>
    <w:rsid w:val="008C61A7"/>
    <w:rsid w:val="008D447E"/>
    <w:rsid w:val="008D7566"/>
    <w:rsid w:val="008D78C0"/>
    <w:rsid w:val="008E031B"/>
    <w:rsid w:val="008E0560"/>
    <w:rsid w:val="008E2D8C"/>
    <w:rsid w:val="008E3A50"/>
    <w:rsid w:val="008E7029"/>
    <w:rsid w:val="008E7EF6"/>
    <w:rsid w:val="008F01AB"/>
    <w:rsid w:val="008F1F98"/>
    <w:rsid w:val="008F2340"/>
    <w:rsid w:val="008F2790"/>
    <w:rsid w:val="008F6758"/>
    <w:rsid w:val="009040DD"/>
    <w:rsid w:val="00905618"/>
    <w:rsid w:val="00905B47"/>
    <w:rsid w:val="0090690F"/>
    <w:rsid w:val="009111CE"/>
    <w:rsid w:val="00911391"/>
    <w:rsid w:val="0091331C"/>
    <w:rsid w:val="009137BD"/>
    <w:rsid w:val="0091449A"/>
    <w:rsid w:val="0091503D"/>
    <w:rsid w:val="00924873"/>
    <w:rsid w:val="00926A57"/>
    <w:rsid w:val="009279DE"/>
    <w:rsid w:val="00927AB9"/>
    <w:rsid w:val="00927B37"/>
    <w:rsid w:val="00930042"/>
    <w:rsid w:val="00930116"/>
    <w:rsid w:val="00930625"/>
    <w:rsid w:val="00940731"/>
    <w:rsid w:val="00941082"/>
    <w:rsid w:val="0094212C"/>
    <w:rsid w:val="00943B39"/>
    <w:rsid w:val="00944853"/>
    <w:rsid w:val="0094609D"/>
    <w:rsid w:val="0095378C"/>
    <w:rsid w:val="00954689"/>
    <w:rsid w:val="0095472A"/>
    <w:rsid w:val="00955BFB"/>
    <w:rsid w:val="0096085A"/>
    <w:rsid w:val="009617C9"/>
    <w:rsid w:val="00961B6D"/>
    <w:rsid w:val="00961C93"/>
    <w:rsid w:val="00962B4E"/>
    <w:rsid w:val="00965324"/>
    <w:rsid w:val="00966FEE"/>
    <w:rsid w:val="0097091E"/>
    <w:rsid w:val="00971F40"/>
    <w:rsid w:val="009760D3"/>
    <w:rsid w:val="00977132"/>
    <w:rsid w:val="00981A4B"/>
    <w:rsid w:val="00982250"/>
    <w:rsid w:val="00982501"/>
    <w:rsid w:val="00983D33"/>
    <w:rsid w:val="00984358"/>
    <w:rsid w:val="0098547B"/>
    <w:rsid w:val="009877D3"/>
    <w:rsid w:val="00987F75"/>
    <w:rsid w:val="00994E8F"/>
    <w:rsid w:val="009951DC"/>
    <w:rsid w:val="009959BB"/>
    <w:rsid w:val="00996BA0"/>
    <w:rsid w:val="00997158"/>
    <w:rsid w:val="009A0827"/>
    <w:rsid w:val="009A3A7C"/>
    <w:rsid w:val="009A5D33"/>
    <w:rsid w:val="009A610D"/>
    <w:rsid w:val="009A7282"/>
    <w:rsid w:val="009A7D84"/>
    <w:rsid w:val="009B2323"/>
    <w:rsid w:val="009B2ADB"/>
    <w:rsid w:val="009B4803"/>
    <w:rsid w:val="009B5912"/>
    <w:rsid w:val="009B603A"/>
    <w:rsid w:val="009C143F"/>
    <w:rsid w:val="009C189C"/>
    <w:rsid w:val="009C2D0E"/>
    <w:rsid w:val="009C3DAC"/>
    <w:rsid w:val="009C42E0"/>
    <w:rsid w:val="009C74E8"/>
    <w:rsid w:val="009D3230"/>
    <w:rsid w:val="009D5362"/>
    <w:rsid w:val="009E1415"/>
    <w:rsid w:val="009E1B01"/>
    <w:rsid w:val="009E4DA0"/>
    <w:rsid w:val="009E6116"/>
    <w:rsid w:val="009E729B"/>
    <w:rsid w:val="009E7E25"/>
    <w:rsid w:val="00A016AF"/>
    <w:rsid w:val="00A02E43"/>
    <w:rsid w:val="00A05368"/>
    <w:rsid w:val="00A065F9"/>
    <w:rsid w:val="00A07011"/>
    <w:rsid w:val="00A07F34"/>
    <w:rsid w:val="00A07F8A"/>
    <w:rsid w:val="00A1300B"/>
    <w:rsid w:val="00A20A7F"/>
    <w:rsid w:val="00A22154"/>
    <w:rsid w:val="00A24058"/>
    <w:rsid w:val="00A25C38"/>
    <w:rsid w:val="00A32325"/>
    <w:rsid w:val="00A3264B"/>
    <w:rsid w:val="00A32A2E"/>
    <w:rsid w:val="00A35824"/>
    <w:rsid w:val="00A366EF"/>
    <w:rsid w:val="00A36BBE"/>
    <w:rsid w:val="00A37C20"/>
    <w:rsid w:val="00A40D9E"/>
    <w:rsid w:val="00A41DF7"/>
    <w:rsid w:val="00A420B1"/>
    <w:rsid w:val="00A42ECA"/>
    <w:rsid w:val="00A4307A"/>
    <w:rsid w:val="00A46DEF"/>
    <w:rsid w:val="00A47EBB"/>
    <w:rsid w:val="00A51CDD"/>
    <w:rsid w:val="00A563F8"/>
    <w:rsid w:val="00A56BBA"/>
    <w:rsid w:val="00A6730D"/>
    <w:rsid w:val="00A679F8"/>
    <w:rsid w:val="00A71625"/>
    <w:rsid w:val="00A71B9B"/>
    <w:rsid w:val="00A751C7"/>
    <w:rsid w:val="00A80008"/>
    <w:rsid w:val="00A81F1E"/>
    <w:rsid w:val="00A82F47"/>
    <w:rsid w:val="00A83FA2"/>
    <w:rsid w:val="00A842F7"/>
    <w:rsid w:val="00A84CE5"/>
    <w:rsid w:val="00A8695F"/>
    <w:rsid w:val="00A87844"/>
    <w:rsid w:val="00A9227B"/>
    <w:rsid w:val="00A96090"/>
    <w:rsid w:val="00A97A55"/>
    <w:rsid w:val="00AA038C"/>
    <w:rsid w:val="00AA3471"/>
    <w:rsid w:val="00AA7A09"/>
    <w:rsid w:val="00AB3B50"/>
    <w:rsid w:val="00AB3B87"/>
    <w:rsid w:val="00AB3D62"/>
    <w:rsid w:val="00AC05B1"/>
    <w:rsid w:val="00AC06FA"/>
    <w:rsid w:val="00AC450C"/>
    <w:rsid w:val="00AC6D5E"/>
    <w:rsid w:val="00AD15EC"/>
    <w:rsid w:val="00AD340B"/>
    <w:rsid w:val="00AD356C"/>
    <w:rsid w:val="00AD5987"/>
    <w:rsid w:val="00AD68A9"/>
    <w:rsid w:val="00AE1630"/>
    <w:rsid w:val="00AE2914"/>
    <w:rsid w:val="00AE6D15"/>
    <w:rsid w:val="00AE7023"/>
    <w:rsid w:val="00AE78AA"/>
    <w:rsid w:val="00AF0EF3"/>
    <w:rsid w:val="00AF1F49"/>
    <w:rsid w:val="00AF2D81"/>
    <w:rsid w:val="00AF7EA2"/>
    <w:rsid w:val="00B005AE"/>
    <w:rsid w:val="00B0145E"/>
    <w:rsid w:val="00B02463"/>
    <w:rsid w:val="00B04182"/>
    <w:rsid w:val="00B05ECF"/>
    <w:rsid w:val="00B07AE3"/>
    <w:rsid w:val="00B11430"/>
    <w:rsid w:val="00B12A5D"/>
    <w:rsid w:val="00B22D9A"/>
    <w:rsid w:val="00B242F4"/>
    <w:rsid w:val="00B2477A"/>
    <w:rsid w:val="00B24D1C"/>
    <w:rsid w:val="00B30072"/>
    <w:rsid w:val="00B30481"/>
    <w:rsid w:val="00B3312F"/>
    <w:rsid w:val="00B34A0E"/>
    <w:rsid w:val="00B353EB"/>
    <w:rsid w:val="00B4016F"/>
    <w:rsid w:val="00B407AC"/>
    <w:rsid w:val="00B43374"/>
    <w:rsid w:val="00B439C4"/>
    <w:rsid w:val="00B43ACB"/>
    <w:rsid w:val="00B4535E"/>
    <w:rsid w:val="00B5296F"/>
    <w:rsid w:val="00B52A8C"/>
    <w:rsid w:val="00B54707"/>
    <w:rsid w:val="00B56155"/>
    <w:rsid w:val="00B574E7"/>
    <w:rsid w:val="00B60D12"/>
    <w:rsid w:val="00B62F11"/>
    <w:rsid w:val="00B63042"/>
    <w:rsid w:val="00B636A8"/>
    <w:rsid w:val="00B65423"/>
    <w:rsid w:val="00B665C6"/>
    <w:rsid w:val="00B72AD8"/>
    <w:rsid w:val="00B74441"/>
    <w:rsid w:val="00B758A5"/>
    <w:rsid w:val="00B805AF"/>
    <w:rsid w:val="00B82BD5"/>
    <w:rsid w:val="00B869EC"/>
    <w:rsid w:val="00B92383"/>
    <w:rsid w:val="00B92E45"/>
    <w:rsid w:val="00B9397A"/>
    <w:rsid w:val="00B94BA9"/>
    <w:rsid w:val="00B9633D"/>
    <w:rsid w:val="00B967D5"/>
    <w:rsid w:val="00BA148C"/>
    <w:rsid w:val="00BA2EBE"/>
    <w:rsid w:val="00BA47C9"/>
    <w:rsid w:val="00BA5F58"/>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61FA"/>
    <w:rsid w:val="00BE7067"/>
    <w:rsid w:val="00BF1D82"/>
    <w:rsid w:val="00BF3BB2"/>
    <w:rsid w:val="00BF617A"/>
    <w:rsid w:val="00BF76C0"/>
    <w:rsid w:val="00C0379D"/>
    <w:rsid w:val="00C03931"/>
    <w:rsid w:val="00C05FE3"/>
    <w:rsid w:val="00C11DA9"/>
    <w:rsid w:val="00C2136D"/>
    <w:rsid w:val="00C214EE"/>
    <w:rsid w:val="00C2314B"/>
    <w:rsid w:val="00C244A0"/>
    <w:rsid w:val="00C24844"/>
    <w:rsid w:val="00C24971"/>
    <w:rsid w:val="00C25355"/>
    <w:rsid w:val="00C26BE5"/>
    <w:rsid w:val="00C26E4D"/>
    <w:rsid w:val="00C27909"/>
    <w:rsid w:val="00C27B03"/>
    <w:rsid w:val="00C314E1"/>
    <w:rsid w:val="00C34397"/>
    <w:rsid w:val="00C402C4"/>
    <w:rsid w:val="00C40503"/>
    <w:rsid w:val="00C4095D"/>
    <w:rsid w:val="00C41CE6"/>
    <w:rsid w:val="00C4220D"/>
    <w:rsid w:val="00C43C15"/>
    <w:rsid w:val="00C571F1"/>
    <w:rsid w:val="00C5769A"/>
    <w:rsid w:val="00C57A9C"/>
    <w:rsid w:val="00C601D2"/>
    <w:rsid w:val="00C65BCC"/>
    <w:rsid w:val="00C66970"/>
    <w:rsid w:val="00C71F4D"/>
    <w:rsid w:val="00C76218"/>
    <w:rsid w:val="00C83A3E"/>
    <w:rsid w:val="00C8691C"/>
    <w:rsid w:val="00C86CB4"/>
    <w:rsid w:val="00C96295"/>
    <w:rsid w:val="00C96364"/>
    <w:rsid w:val="00C9785E"/>
    <w:rsid w:val="00C9798C"/>
    <w:rsid w:val="00CA03DF"/>
    <w:rsid w:val="00CA168A"/>
    <w:rsid w:val="00CA1C69"/>
    <w:rsid w:val="00CA2097"/>
    <w:rsid w:val="00CA27E4"/>
    <w:rsid w:val="00CA357E"/>
    <w:rsid w:val="00CA44F9"/>
    <w:rsid w:val="00CA4A69"/>
    <w:rsid w:val="00CB2507"/>
    <w:rsid w:val="00CB722E"/>
    <w:rsid w:val="00CC1F0D"/>
    <w:rsid w:val="00CC3E0C"/>
    <w:rsid w:val="00CC58D3"/>
    <w:rsid w:val="00CC784D"/>
    <w:rsid w:val="00CD1933"/>
    <w:rsid w:val="00CD5D33"/>
    <w:rsid w:val="00CE7D8B"/>
    <w:rsid w:val="00CF1E15"/>
    <w:rsid w:val="00D00A8D"/>
    <w:rsid w:val="00D024C0"/>
    <w:rsid w:val="00D03268"/>
    <w:rsid w:val="00D0337B"/>
    <w:rsid w:val="00D054E6"/>
    <w:rsid w:val="00D07777"/>
    <w:rsid w:val="00D079B2"/>
    <w:rsid w:val="00D114E9"/>
    <w:rsid w:val="00D14761"/>
    <w:rsid w:val="00D17CD8"/>
    <w:rsid w:val="00D2527C"/>
    <w:rsid w:val="00D313B3"/>
    <w:rsid w:val="00D34378"/>
    <w:rsid w:val="00D35B8E"/>
    <w:rsid w:val="00D40F07"/>
    <w:rsid w:val="00D429C6"/>
    <w:rsid w:val="00D459AA"/>
    <w:rsid w:val="00D47748"/>
    <w:rsid w:val="00D5178F"/>
    <w:rsid w:val="00D518DF"/>
    <w:rsid w:val="00D53D50"/>
    <w:rsid w:val="00D54CC3"/>
    <w:rsid w:val="00D6041A"/>
    <w:rsid w:val="00D61258"/>
    <w:rsid w:val="00D633EB"/>
    <w:rsid w:val="00D67CC6"/>
    <w:rsid w:val="00D736AC"/>
    <w:rsid w:val="00D747AA"/>
    <w:rsid w:val="00D75A7E"/>
    <w:rsid w:val="00D82FF7"/>
    <w:rsid w:val="00D8400D"/>
    <w:rsid w:val="00D84271"/>
    <w:rsid w:val="00D847FE"/>
    <w:rsid w:val="00D86B9C"/>
    <w:rsid w:val="00D900CD"/>
    <w:rsid w:val="00D90A39"/>
    <w:rsid w:val="00D9123D"/>
    <w:rsid w:val="00D964EA"/>
    <w:rsid w:val="00D966D0"/>
    <w:rsid w:val="00DA0C59"/>
    <w:rsid w:val="00DA3991"/>
    <w:rsid w:val="00DA72A1"/>
    <w:rsid w:val="00DA7F95"/>
    <w:rsid w:val="00DB01F1"/>
    <w:rsid w:val="00DB3222"/>
    <w:rsid w:val="00DB7E6C"/>
    <w:rsid w:val="00DB7F66"/>
    <w:rsid w:val="00DC4F68"/>
    <w:rsid w:val="00DC64B0"/>
    <w:rsid w:val="00DC6B1E"/>
    <w:rsid w:val="00DD252A"/>
    <w:rsid w:val="00DD5949"/>
    <w:rsid w:val="00DD5A29"/>
    <w:rsid w:val="00DD5D9D"/>
    <w:rsid w:val="00DE2E5C"/>
    <w:rsid w:val="00DE35CB"/>
    <w:rsid w:val="00DE7A91"/>
    <w:rsid w:val="00DF0EF0"/>
    <w:rsid w:val="00DF21E9"/>
    <w:rsid w:val="00DF22C7"/>
    <w:rsid w:val="00DF2F6B"/>
    <w:rsid w:val="00DF5588"/>
    <w:rsid w:val="00DF5CC9"/>
    <w:rsid w:val="00E005D3"/>
    <w:rsid w:val="00E00F14"/>
    <w:rsid w:val="00E01CB8"/>
    <w:rsid w:val="00E04DD8"/>
    <w:rsid w:val="00E06386"/>
    <w:rsid w:val="00E075C5"/>
    <w:rsid w:val="00E1051A"/>
    <w:rsid w:val="00E111F3"/>
    <w:rsid w:val="00E11668"/>
    <w:rsid w:val="00E118E7"/>
    <w:rsid w:val="00E122B7"/>
    <w:rsid w:val="00E13711"/>
    <w:rsid w:val="00E21B55"/>
    <w:rsid w:val="00E221D3"/>
    <w:rsid w:val="00E24EB4"/>
    <w:rsid w:val="00E26580"/>
    <w:rsid w:val="00E30635"/>
    <w:rsid w:val="00E320ED"/>
    <w:rsid w:val="00E33AFB"/>
    <w:rsid w:val="00E34218"/>
    <w:rsid w:val="00E34903"/>
    <w:rsid w:val="00E414B7"/>
    <w:rsid w:val="00E4339D"/>
    <w:rsid w:val="00E44838"/>
    <w:rsid w:val="00E4555B"/>
    <w:rsid w:val="00E46282"/>
    <w:rsid w:val="00E50D3A"/>
    <w:rsid w:val="00E5216E"/>
    <w:rsid w:val="00E5529C"/>
    <w:rsid w:val="00E657C6"/>
    <w:rsid w:val="00E70205"/>
    <w:rsid w:val="00E739B8"/>
    <w:rsid w:val="00E75D40"/>
    <w:rsid w:val="00E81965"/>
    <w:rsid w:val="00E81A88"/>
    <w:rsid w:val="00E82344"/>
    <w:rsid w:val="00E83B09"/>
    <w:rsid w:val="00E84C82"/>
    <w:rsid w:val="00E84D64"/>
    <w:rsid w:val="00E84E05"/>
    <w:rsid w:val="00E87408"/>
    <w:rsid w:val="00E914C4"/>
    <w:rsid w:val="00E934F5"/>
    <w:rsid w:val="00E96961"/>
    <w:rsid w:val="00EA72EC"/>
    <w:rsid w:val="00EB11CB"/>
    <w:rsid w:val="00EB1327"/>
    <w:rsid w:val="00EB1C71"/>
    <w:rsid w:val="00EB275A"/>
    <w:rsid w:val="00EB2C13"/>
    <w:rsid w:val="00EB57CA"/>
    <w:rsid w:val="00EB5880"/>
    <w:rsid w:val="00EB675E"/>
    <w:rsid w:val="00EB786A"/>
    <w:rsid w:val="00EC1578"/>
    <w:rsid w:val="00EC1BFC"/>
    <w:rsid w:val="00EC1C72"/>
    <w:rsid w:val="00EC3356"/>
    <w:rsid w:val="00EC3CC9"/>
    <w:rsid w:val="00EC5D01"/>
    <w:rsid w:val="00EC5D85"/>
    <w:rsid w:val="00EC680A"/>
    <w:rsid w:val="00ED1AB3"/>
    <w:rsid w:val="00ED511C"/>
    <w:rsid w:val="00ED7229"/>
    <w:rsid w:val="00EE25CB"/>
    <w:rsid w:val="00EE2BED"/>
    <w:rsid w:val="00EE374B"/>
    <w:rsid w:val="00EE4A87"/>
    <w:rsid w:val="00EE7BCC"/>
    <w:rsid w:val="00EF2869"/>
    <w:rsid w:val="00EF7D19"/>
    <w:rsid w:val="00F05D60"/>
    <w:rsid w:val="00F07224"/>
    <w:rsid w:val="00F07FD3"/>
    <w:rsid w:val="00F11BB5"/>
    <w:rsid w:val="00F1296C"/>
    <w:rsid w:val="00F1417B"/>
    <w:rsid w:val="00F1712D"/>
    <w:rsid w:val="00F17A17"/>
    <w:rsid w:val="00F208A0"/>
    <w:rsid w:val="00F2115E"/>
    <w:rsid w:val="00F22A1F"/>
    <w:rsid w:val="00F27B3D"/>
    <w:rsid w:val="00F30ABD"/>
    <w:rsid w:val="00F34B99"/>
    <w:rsid w:val="00F40B02"/>
    <w:rsid w:val="00F41E81"/>
    <w:rsid w:val="00F43BE7"/>
    <w:rsid w:val="00F44E11"/>
    <w:rsid w:val="00F47FDE"/>
    <w:rsid w:val="00F51720"/>
    <w:rsid w:val="00F51CF2"/>
    <w:rsid w:val="00F52DAB"/>
    <w:rsid w:val="00F543F0"/>
    <w:rsid w:val="00F55E3E"/>
    <w:rsid w:val="00F57601"/>
    <w:rsid w:val="00F604B3"/>
    <w:rsid w:val="00F73F99"/>
    <w:rsid w:val="00F75F80"/>
    <w:rsid w:val="00F81604"/>
    <w:rsid w:val="00F81D29"/>
    <w:rsid w:val="00F90BE5"/>
    <w:rsid w:val="00F91775"/>
    <w:rsid w:val="00F91C4D"/>
    <w:rsid w:val="00F92FD9"/>
    <w:rsid w:val="00FA0518"/>
    <w:rsid w:val="00FA37B1"/>
    <w:rsid w:val="00FA3E0B"/>
    <w:rsid w:val="00FA5EF7"/>
    <w:rsid w:val="00FA6684"/>
    <w:rsid w:val="00FA731E"/>
    <w:rsid w:val="00FA7BD0"/>
    <w:rsid w:val="00FB034A"/>
    <w:rsid w:val="00FB0571"/>
    <w:rsid w:val="00FB1DCF"/>
    <w:rsid w:val="00FB2B38"/>
    <w:rsid w:val="00FB61CE"/>
    <w:rsid w:val="00FB7A07"/>
    <w:rsid w:val="00FC04CC"/>
    <w:rsid w:val="00FC0B12"/>
    <w:rsid w:val="00FC2066"/>
    <w:rsid w:val="00FC6358"/>
    <w:rsid w:val="00FD1381"/>
    <w:rsid w:val="00FD320D"/>
    <w:rsid w:val="00FD6908"/>
    <w:rsid w:val="00FE1B98"/>
    <w:rsid w:val="00FE23DE"/>
    <w:rsid w:val="00FE5895"/>
    <w:rsid w:val="00FF1801"/>
    <w:rsid w:val="00FF6842"/>
    <w:rsid w:val="021E019D"/>
    <w:rsid w:val="036A05D8"/>
    <w:rsid w:val="04706FFA"/>
    <w:rsid w:val="04977542"/>
    <w:rsid w:val="04BF763A"/>
    <w:rsid w:val="04EB042F"/>
    <w:rsid w:val="06B937CD"/>
    <w:rsid w:val="079C3C62"/>
    <w:rsid w:val="083E3FC8"/>
    <w:rsid w:val="08D37B58"/>
    <w:rsid w:val="09023F99"/>
    <w:rsid w:val="092D370C"/>
    <w:rsid w:val="09AB6350"/>
    <w:rsid w:val="0A1C72DC"/>
    <w:rsid w:val="0B7078E0"/>
    <w:rsid w:val="0BF4406D"/>
    <w:rsid w:val="0C5D60B6"/>
    <w:rsid w:val="0C6E02C3"/>
    <w:rsid w:val="0CBE467B"/>
    <w:rsid w:val="0D026C5D"/>
    <w:rsid w:val="0D0B0AF3"/>
    <w:rsid w:val="0DD2101D"/>
    <w:rsid w:val="0DFC388A"/>
    <w:rsid w:val="0E6D0107"/>
    <w:rsid w:val="107648F3"/>
    <w:rsid w:val="109A0F5B"/>
    <w:rsid w:val="11124F95"/>
    <w:rsid w:val="11E46EEA"/>
    <w:rsid w:val="12F247E1"/>
    <w:rsid w:val="132536A6"/>
    <w:rsid w:val="13737F6D"/>
    <w:rsid w:val="17D53684"/>
    <w:rsid w:val="1B395F40"/>
    <w:rsid w:val="1B9D650F"/>
    <w:rsid w:val="1BE22134"/>
    <w:rsid w:val="1DDE4B7D"/>
    <w:rsid w:val="1E2F53D8"/>
    <w:rsid w:val="1EA00084"/>
    <w:rsid w:val="1F901EA7"/>
    <w:rsid w:val="20250841"/>
    <w:rsid w:val="204D70F7"/>
    <w:rsid w:val="20745325"/>
    <w:rsid w:val="20AF2801"/>
    <w:rsid w:val="20DF5911"/>
    <w:rsid w:val="20EE50D7"/>
    <w:rsid w:val="215238B8"/>
    <w:rsid w:val="21757994"/>
    <w:rsid w:val="22C81958"/>
    <w:rsid w:val="23355E85"/>
    <w:rsid w:val="26307F40"/>
    <w:rsid w:val="275B2D9A"/>
    <w:rsid w:val="285C7F19"/>
    <w:rsid w:val="28702875"/>
    <w:rsid w:val="28FC05AD"/>
    <w:rsid w:val="2A355B25"/>
    <w:rsid w:val="2B1E480B"/>
    <w:rsid w:val="2D67693D"/>
    <w:rsid w:val="2DD13DB6"/>
    <w:rsid w:val="2E3903E0"/>
    <w:rsid w:val="2EAD308B"/>
    <w:rsid w:val="30032221"/>
    <w:rsid w:val="30671C91"/>
    <w:rsid w:val="311F752F"/>
    <w:rsid w:val="31B72085"/>
    <w:rsid w:val="31DA32B8"/>
    <w:rsid w:val="323112C7"/>
    <w:rsid w:val="340B78F6"/>
    <w:rsid w:val="351A6043"/>
    <w:rsid w:val="37384EA6"/>
    <w:rsid w:val="38305B7D"/>
    <w:rsid w:val="3B806E1C"/>
    <w:rsid w:val="3BB371F1"/>
    <w:rsid w:val="3C37572C"/>
    <w:rsid w:val="3E441959"/>
    <w:rsid w:val="3E55756E"/>
    <w:rsid w:val="3F0C740B"/>
    <w:rsid w:val="3F593C0C"/>
    <w:rsid w:val="3F6727CC"/>
    <w:rsid w:val="3F801C2B"/>
    <w:rsid w:val="40153FD6"/>
    <w:rsid w:val="40854FB4"/>
    <w:rsid w:val="41FD4D22"/>
    <w:rsid w:val="429477FF"/>
    <w:rsid w:val="43525542"/>
    <w:rsid w:val="43B42B79"/>
    <w:rsid w:val="4436276D"/>
    <w:rsid w:val="456B4699"/>
    <w:rsid w:val="45D73ADC"/>
    <w:rsid w:val="467C4DAF"/>
    <w:rsid w:val="46A240EA"/>
    <w:rsid w:val="48233009"/>
    <w:rsid w:val="498E0956"/>
    <w:rsid w:val="4A1D0192"/>
    <w:rsid w:val="4A6E0EB3"/>
    <w:rsid w:val="4AC2736B"/>
    <w:rsid w:val="4C0849EF"/>
    <w:rsid w:val="4D522912"/>
    <w:rsid w:val="4D9E1AAF"/>
    <w:rsid w:val="4DCA28A4"/>
    <w:rsid w:val="508C21CC"/>
    <w:rsid w:val="52F705D8"/>
    <w:rsid w:val="56786C15"/>
    <w:rsid w:val="56F444EE"/>
    <w:rsid w:val="575A3A43"/>
    <w:rsid w:val="57D60097"/>
    <w:rsid w:val="57EC2C4F"/>
    <w:rsid w:val="58535244"/>
    <w:rsid w:val="586E0EBE"/>
    <w:rsid w:val="58CF3696"/>
    <w:rsid w:val="591A3FB4"/>
    <w:rsid w:val="59AE40C4"/>
    <w:rsid w:val="5A1B017E"/>
    <w:rsid w:val="5A7616BE"/>
    <w:rsid w:val="5C6555AC"/>
    <w:rsid w:val="5CED210B"/>
    <w:rsid w:val="5DDE3802"/>
    <w:rsid w:val="5E0A45F7"/>
    <w:rsid w:val="5E3574D4"/>
    <w:rsid w:val="5E6C7060"/>
    <w:rsid w:val="6057789C"/>
    <w:rsid w:val="605E26A9"/>
    <w:rsid w:val="61903065"/>
    <w:rsid w:val="61B77CF8"/>
    <w:rsid w:val="61CD250B"/>
    <w:rsid w:val="62693A03"/>
    <w:rsid w:val="63C416EC"/>
    <w:rsid w:val="64BD6867"/>
    <w:rsid w:val="650D7866"/>
    <w:rsid w:val="68E36170"/>
    <w:rsid w:val="69F60125"/>
    <w:rsid w:val="6A0445F0"/>
    <w:rsid w:val="6A4E1D0F"/>
    <w:rsid w:val="6B6D4417"/>
    <w:rsid w:val="6BD66460"/>
    <w:rsid w:val="6D6C2BD8"/>
    <w:rsid w:val="6D725612"/>
    <w:rsid w:val="707324D0"/>
    <w:rsid w:val="71DC57AF"/>
    <w:rsid w:val="721D02BD"/>
    <w:rsid w:val="738A1B7C"/>
    <w:rsid w:val="7657019E"/>
    <w:rsid w:val="769B008A"/>
    <w:rsid w:val="781A1483"/>
    <w:rsid w:val="79A73866"/>
    <w:rsid w:val="7A5027DA"/>
    <w:rsid w:val="7A5549F4"/>
    <w:rsid w:val="7BAC31A3"/>
    <w:rsid w:val="7C47587A"/>
    <w:rsid w:val="7ED625A7"/>
    <w:rsid w:val="7F0D2D68"/>
    <w:rsid w:val="7F6310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qFormat/>
    <w:uiPriority w:val="0"/>
    <w:pPr>
      <w:keepNext/>
      <w:keepLines/>
      <w:spacing w:before="240"/>
      <w:outlineLvl w:val="0"/>
    </w:pPr>
    <w:rPr>
      <w:rFonts w:asciiTheme="majorHAnsi" w:hAnsiTheme="majorHAnsi" w:eastAsiaTheme="majorEastAsia" w:cstheme="majorBidi"/>
      <w:color w:val="376092" w:themeColor="accent1" w:themeShade="BF"/>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54"/>
    <w:semiHidden/>
    <w:unhideWhenUsed/>
    <w:qFormat/>
    <w:uiPriority w:val="0"/>
    <w:rPr>
      <w:sz w:val="20"/>
      <w:szCs w:val="20"/>
    </w:r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1"/>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55"/>
    <w:semiHidden/>
    <w:unhideWhenUsed/>
    <w:qFormat/>
    <w:uiPriority w:val="0"/>
    <w:rPr>
      <w:b/>
      <w:bCs/>
    </w:rPr>
  </w:style>
  <w:style w:type="table" w:styleId="33">
    <w:name w:val="Table Grid"/>
    <w:basedOn w:val="3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semiHidden/>
    <w:unhideWhenUsed/>
    <w:qFormat/>
    <w:uiPriority w:val="0"/>
    <w:rPr>
      <w:sz w:val="16"/>
      <w:szCs w:val="16"/>
    </w:rPr>
  </w:style>
  <w:style w:type="character" w:styleId="40">
    <w:name w:val="footnote reference"/>
    <w:semiHidden/>
    <w:qFormat/>
    <w:uiPriority w:val="0"/>
    <w:rPr>
      <w:vertAlign w:val="superscript"/>
    </w:rPr>
  </w:style>
  <w:style w:type="character" w:customStyle="1" w:styleId="41">
    <w:name w:val="段 Char"/>
    <w:link w:val="23"/>
    <w:qFormat/>
    <w:uiPriority w:val="0"/>
    <w:rPr>
      <w:rFonts w:ascii="宋体"/>
      <w:sz w:val="21"/>
      <w:lang w:val="en-US" w:eastAsia="zh-CN" w:bidi="ar-SA"/>
    </w:rPr>
  </w:style>
  <w:style w:type="paragraph" w:customStyle="1" w:styleId="42">
    <w:name w:val="一级条标题"/>
    <w:next w:val="2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numPr>
        <w:ilvl w:val="2"/>
        <w:numId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link w:val="13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3"/>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2">
    <w:name w:val="示例×："/>
    <w:basedOn w:val="45"/>
    <w:qFormat/>
    <w:uiPriority w:val="0"/>
    <w:pPr>
      <w:numPr>
        <w:ilvl w:val="0"/>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3"/>
    <w:qFormat/>
    <w:uiPriority w:val="0"/>
    <w:pPr>
      <w:numPr>
        <w:numId w:val="9"/>
      </w:numPr>
      <w:ind w:left="726" w:hanging="363"/>
    </w:pPr>
  </w:style>
  <w:style w:type="paragraph" w:customStyle="1" w:styleId="65">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7">
    <w:name w:val="附录表标题"/>
    <w:basedOn w:val="1"/>
    <w:next w:val="23"/>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3"/>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9">
    <w:name w:val="附录图标题"/>
    <w:basedOn w:val="1"/>
    <w:next w:val="23"/>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3"/>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tabs>
        <w:tab w:val="left" w:pos="360"/>
      </w:tabs>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4"/>
    <w:qFormat/>
    <w:uiPriority w:val="0"/>
    <w:pPr>
      <w:numPr>
        <w:numId w:val="0"/>
      </w:numPr>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numPr>
        <w:ilvl w:val="0"/>
        <w:numId w:val="15"/>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3"/>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paragraph" w:customStyle="1" w:styleId="137">
    <w:name w:val="标准名称"/>
    <w:basedOn w:val="50"/>
    <w:link w:val="140"/>
    <w:qFormat/>
    <w:uiPriority w:val="0"/>
  </w:style>
  <w:style w:type="character" w:styleId="138">
    <w:name w:val="Placeholder Text"/>
    <w:basedOn w:val="34"/>
    <w:semiHidden/>
    <w:qFormat/>
    <w:uiPriority w:val="99"/>
    <w:rPr>
      <w:color w:val="808080"/>
    </w:rPr>
  </w:style>
  <w:style w:type="character" w:customStyle="1" w:styleId="139">
    <w:name w:val="目次、标准名称标题 Char"/>
    <w:basedOn w:val="34"/>
    <w:link w:val="50"/>
    <w:qFormat/>
    <w:uiPriority w:val="0"/>
    <w:rPr>
      <w:rFonts w:ascii="黑体" w:eastAsia="黑体"/>
      <w:sz w:val="32"/>
      <w:shd w:val="clear" w:color="FFFFFF" w:fill="FFFFFF"/>
    </w:rPr>
  </w:style>
  <w:style w:type="character" w:customStyle="1" w:styleId="140">
    <w:name w:val="标准名称 Char"/>
    <w:basedOn w:val="139"/>
    <w:link w:val="137"/>
    <w:qFormat/>
    <w:uiPriority w:val="0"/>
    <w:rPr>
      <w:rFonts w:ascii="黑体" w:eastAsia="黑体"/>
      <w:sz w:val="32"/>
      <w:shd w:val="clear" w:color="FFFFFF" w:fill="FFFFFF"/>
    </w:rPr>
  </w:style>
  <w:style w:type="character" w:customStyle="1" w:styleId="141">
    <w:name w:val="批注框文本 Char"/>
    <w:basedOn w:val="34"/>
    <w:link w:val="16"/>
    <w:qFormat/>
    <w:uiPriority w:val="0"/>
    <w:rPr>
      <w:kern w:val="2"/>
      <w:sz w:val="18"/>
      <w:szCs w:val="18"/>
    </w:rPr>
  </w:style>
  <w:style w:type="character" w:customStyle="1" w:styleId="142">
    <w:name w:val="Unresolved Mention"/>
    <w:basedOn w:val="34"/>
    <w:semiHidden/>
    <w:unhideWhenUsed/>
    <w:qFormat/>
    <w:uiPriority w:val="99"/>
    <w:rPr>
      <w:color w:val="605E5C"/>
      <w:shd w:val="clear" w:color="auto" w:fill="E1DFDD"/>
    </w:rPr>
  </w:style>
  <w:style w:type="table" w:customStyle="1" w:styleId="143">
    <w:name w:val="网格型11"/>
    <w:basedOn w:val="3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4">
    <w:name w:val="Body text|1"/>
    <w:basedOn w:val="1"/>
    <w:qFormat/>
    <w:uiPriority w:val="0"/>
    <w:pPr>
      <w:spacing w:line="384" w:lineRule="auto"/>
      <w:ind w:firstLine="380"/>
    </w:pPr>
    <w:rPr>
      <w:rFonts w:ascii="宋体" w:hAnsi="宋体" w:cs="宋体"/>
      <w:sz w:val="19"/>
      <w:szCs w:val="19"/>
      <w:lang w:val="zh-TW" w:eastAsia="zh-TW" w:bidi="zh-TW"/>
    </w:rPr>
  </w:style>
  <w:style w:type="paragraph" w:customStyle="1" w:styleId="145">
    <w:name w:val="Body text|2"/>
    <w:basedOn w:val="1"/>
    <w:qFormat/>
    <w:uiPriority w:val="0"/>
    <w:pPr>
      <w:spacing w:after="1230" w:line="209" w:lineRule="auto"/>
    </w:pPr>
    <w:rPr>
      <w:sz w:val="20"/>
      <w:szCs w:val="20"/>
    </w:rPr>
  </w:style>
  <w:style w:type="paragraph" w:customStyle="1" w:styleId="146">
    <w:name w:val="Body text|3"/>
    <w:basedOn w:val="1"/>
    <w:qFormat/>
    <w:uiPriority w:val="0"/>
    <w:pPr>
      <w:spacing w:after="80" w:line="290" w:lineRule="exact"/>
      <w:ind w:firstLine="360"/>
    </w:pPr>
    <w:rPr>
      <w:rFonts w:ascii="宋体" w:hAnsi="宋体" w:cs="宋体"/>
      <w:sz w:val="16"/>
      <w:szCs w:val="16"/>
      <w:lang w:val="zh-TW" w:eastAsia="zh-TW" w:bidi="zh-TW"/>
    </w:rPr>
  </w:style>
  <w:style w:type="paragraph" w:customStyle="1" w:styleId="147">
    <w:name w:val="Body text|4"/>
    <w:basedOn w:val="1"/>
    <w:qFormat/>
    <w:uiPriority w:val="0"/>
    <w:pPr>
      <w:spacing w:after="80"/>
      <w:ind w:right="280"/>
      <w:jc w:val="right"/>
    </w:pPr>
    <w:rPr>
      <w:sz w:val="14"/>
      <w:szCs w:val="14"/>
    </w:rPr>
  </w:style>
  <w:style w:type="paragraph" w:customStyle="1" w:styleId="148">
    <w:name w:val="Table of contents|1"/>
    <w:basedOn w:val="1"/>
    <w:qFormat/>
    <w:uiPriority w:val="0"/>
    <w:pPr>
      <w:spacing w:after="120"/>
      <w:ind w:firstLine="460"/>
    </w:pPr>
    <w:rPr>
      <w:sz w:val="19"/>
      <w:szCs w:val="19"/>
      <w:lang w:val="zh-TW" w:eastAsia="zh-TW" w:bidi="zh-TW"/>
    </w:rPr>
  </w:style>
  <w:style w:type="paragraph" w:customStyle="1" w:styleId="149">
    <w:name w:val="Heading #6|1"/>
    <w:basedOn w:val="1"/>
    <w:qFormat/>
    <w:uiPriority w:val="0"/>
    <w:pPr>
      <w:spacing w:after="140" w:line="319" w:lineRule="auto"/>
      <w:ind w:firstLine="360"/>
      <w:outlineLvl w:val="5"/>
    </w:pPr>
    <w:rPr>
      <w:b/>
      <w:bCs/>
      <w:sz w:val="19"/>
      <w:szCs w:val="19"/>
    </w:rPr>
  </w:style>
  <w:style w:type="paragraph" w:customStyle="1" w:styleId="150">
    <w:name w:val="Header or footer|1"/>
    <w:basedOn w:val="1"/>
    <w:qFormat/>
    <w:uiPriority w:val="0"/>
    <w:rPr>
      <w:sz w:val="20"/>
      <w:szCs w:val="20"/>
    </w:rPr>
  </w:style>
  <w:style w:type="paragraph" w:customStyle="1" w:styleId="151">
    <w:name w:val="Other|1"/>
    <w:basedOn w:val="1"/>
    <w:qFormat/>
    <w:uiPriority w:val="0"/>
    <w:pPr>
      <w:spacing w:line="384" w:lineRule="auto"/>
      <w:ind w:firstLine="380"/>
    </w:pPr>
    <w:rPr>
      <w:rFonts w:ascii="宋体" w:hAnsi="宋体" w:cs="宋体"/>
      <w:sz w:val="19"/>
      <w:szCs w:val="19"/>
      <w:lang w:val="zh-TW" w:eastAsia="zh-TW" w:bidi="zh-TW"/>
    </w:rPr>
  </w:style>
  <w:style w:type="paragraph" w:customStyle="1" w:styleId="152">
    <w:name w:val="Table caption|1"/>
    <w:basedOn w:val="1"/>
    <w:qFormat/>
    <w:uiPriority w:val="0"/>
    <w:rPr>
      <w:rFonts w:ascii="宋体" w:hAnsi="宋体" w:cs="宋体"/>
      <w:b/>
      <w:bCs/>
      <w:sz w:val="19"/>
      <w:szCs w:val="19"/>
    </w:rPr>
  </w:style>
  <w:style w:type="paragraph" w:customStyle="1" w:styleId="153">
    <w:name w:val="Header or footer|2"/>
    <w:basedOn w:val="1"/>
    <w:qFormat/>
    <w:uiPriority w:val="0"/>
    <w:rPr>
      <w:sz w:val="20"/>
      <w:szCs w:val="20"/>
    </w:rPr>
  </w:style>
  <w:style w:type="character" w:customStyle="1" w:styleId="154">
    <w:name w:val="批注文字 Char"/>
    <w:basedOn w:val="34"/>
    <w:link w:val="8"/>
    <w:semiHidden/>
    <w:qFormat/>
    <w:uiPriority w:val="0"/>
    <w:rPr>
      <w:kern w:val="2"/>
      <w:lang w:val="en-US"/>
    </w:rPr>
  </w:style>
  <w:style w:type="character" w:customStyle="1" w:styleId="155">
    <w:name w:val="批注主题 Char"/>
    <w:basedOn w:val="154"/>
    <w:link w:val="31"/>
    <w:semiHidden/>
    <w:qFormat/>
    <w:uiPriority w:val="0"/>
    <w:rPr>
      <w:b/>
      <w:bCs/>
      <w:kern w:val="2"/>
      <w:lang w:val="en-US"/>
    </w:rPr>
  </w:style>
  <w:style w:type="character" w:customStyle="1" w:styleId="156">
    <w:name w:val="标题 1 Char"/>
    <w:basedOn w:val="34"/>
    <w:link w:val="2"/>
    <w:qFormat/>
    <w:uiPriority w:val="0"/>
    <w:rPr>
      <w:rFonts w:asciiTheme="majorHAnsi" w:hAnsiTheme="majorHAnsi" w:eastAsiaTheme="majorEastAsia" w:cstheme="majorBidi"/>
      <w:color w:val="376092" w:themeColor="accent1" w:themeShade="BF"/>
      <w:kern w:val="2"/>
      <w:sz w:val="32"/>
      <w:szCs w:val="32"/>
      <w:lang w:val="en-US"/>
    </w:rPr>
  </w:style>
  <w:style w:type="paragraph" w:customStyle="1" w:styleId="157">
    <w:name w:val="TOC Heading"/>
    <w:basedOn w:val="2"/>
    <w:next w:val="1"/>
    <w:unhideWhenUsed/>
    <w:qFormat/>
    <w:uiPriority w:val="39"/>
    <w:pPr>
      <w:widowControl/>
      <w:spacing w:line="259" w:lineRule="auto"/>
      <w:jc w:val="left"/>
      <w:outlineLvl w:val="9"/>
    </w:pPr>
    <w:rPr>
      <w:kern w:val="0"/>
      <w:lang w:val="de-D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6E4109BA">
          <w:pPr>
            <w:pStyle w:val="7"/>
          </w:pPr>
          <w:r>
            <w:rPr>
              <w:rStyle w:val="4"/>
              <w:rFonts w:hint="eastAsia"/>
            </w:rPr>
            <w:t>标准名称</w:t>
          </w:r>
        </w:p>
      </w:docPartBody>
    </w:docPart>
    <w:docPart>
      <w:docPartPr>
        <w:name w:val="{c8465a90-0758-4d5e-b663-b34eca273b9d}"/>
        <w:style w:val=""/>
        <w:category>
          <w:name w:val="常规"/>
          <w:gallery w:val="placeholder"/>
        </w:category>
        <w:types>
          <w:type w:val="bbPlcHdr"/>
        </w:types>
        <w:behaviors>
          <w:behavior w:val="content"/>
        </w:behaviors>
        <w:description w:val=""/>
        <w:guid w:val="{C8465A90-0758-4D5E-B663-B34ECA273B9D}"/>
      </w:docPartPr>
      <w:docPartBody>
        <w:p w14:paraId="161232C7">
          <w:r>
            <w:rPr>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80DE3"/>
    <w:rsid w:val="00081F4F"/>
    <w:rsid w:val="00087E40"/>
    <w:rsid w:val="000C73CF"/>
    <w:rsid w:val="001132F9"/>
    <w:rsid w:val="00114ABC"/>
    <w:rsid w:val="00150869"/>
    <w:rsid w:val="001C16E0"/>
    <w:rsid w:val="002068C7"/>
    <w:rsid w:val="00252C91"/>
    <w:rsid w:val="00323E80"/>
    <w:rsid w:val="003372E5"/>
    <w:rsid w:val="003750AF"/>
    <w:rsid w:val="00430F92"/>
    <w:rsid w:val="00443D24"/>
    <w:rsid w:val="004957DC"/>
    <w:rsid w:val="004A1F42"/>
    <w:rsid w:val="004E5985"/>
    <w:rsid w:val="004F113A"/>
    <w:rsid w:val="004F1EC5"/>
    <w:rsid w:val="00500614"/>
    <w:rsid w:val="00515A81"/>
    <w:rsid w:val="005229DE"/>
    <w:rsid w:val="00527E3D"/>
    <w:rsid w:val="005335DD"/>
    <w:rsid w:val="00595E09"/>
    <w:rsid w:val="005E002D"/>
    <w:rsid w:val="00600D9D"/>
    <w:rsid w:val="00665848"/>
    <w:rsid w:val="00674FBA"/>
    <w:rsid w:val="006D02E4"/>
    <w:rsid w:val="007216E9"/>
    <w:rsid w:val="007C6ACB"/>
    <w:rsid w:val="007E2797"/>
    <w:rsid w:val="00800293"/>
    <w:rsid w:val="00820E7E"/>
    <w:rsid w:val="008E024D"/>
    <w:rsid w:val="008F0268"/>
    <w:rsid w:val="008F12B3"/>
    <w:rsid w:val="008F4D79"/>
    <w:rsid w:val="00902EF8"/>
    <w:rsid w:val="00982DAC"/>
    <w:rsid w:val="009B16B1"/>
    <w:rsid w:val="009F539E"/>
    <w:rsid w:val="00A87B55"/>
    <w:rsid w:val="00A94E45"/>
    <w:rsid w:val="00AD6808"/>
    <w:rsid w:val="00B42764"/>
    <w:rsid w:val="00B717AC"/>
    <w:rsid w:val="00B71AB1"/>
    <w:rsid w:val="00BC67AA"/>
    <w:rsid w:val="00C875D2"/>
    <w:rsid w:val="00CB0B2B"/>
    <w:rsid w:val="00D342CC"/>
    <w:rsid w:val="00D4454B"/>
    <w:rsid w:val="00D65DD7"/>
    <w:rsid w:val="00D91FA5"/>
    <w:rsid w:val="00DA4409"/>
    <w:rsid w:val="00E95A08"/>
    <w:rsid w:val="00EA15BD"/>
    <w:rsid w:val="00EA32AC"/>
    <w:rsid w:val="00EB1EFD"/>
    <w:rsid w:val="00F33E1E"/>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qFormat/>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7">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19</Pages>
  <Words>8498</Words>
  <Characters>9425</Characters>
  <Lines>107</Lines>
  <Paragraphs>29</Paragraphs>
  <TotalTime>2</TotalTime>
  <ScaleCrop>false</ScaleCrop>
  <LinksUpToDate>false</LinksUpToDate>
  <CharactersWithSpaces>9756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2023-06-26T08:56:00Z</dcterms:created>
  <dc:creator>CNIS</dc:creator>
  <cp:lastModifiedBy>Lenovo</cp:lastModifiedBy>
  <dcterms:modified xsi:type="dcterms:W3CDTF">2024-11-28T07:26:25Z</dcterms:modified>
  <dc:title>标准名称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42D66DFF2DC943489E38677643425ECD</vt:lpwstr>
  </property>
</Properties>
</file>